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E9695" w14:textId="5B7BE53D" w:rsidR="00A91CEA" w:rsidRDefault="00A91CEA" w:rsidP="00C70646">
      <w:pPr>
        <w:jc w:val="both"/>
        <w:rPr>
          <w:b/>
          <w:sz w:val="20"/>
          <w:szCs w:val="20"/>
        </w:rPr>
      </w:pPr>
      <w:r>
        <w:rPr>
          <w:b/>
          <w:sz w:val="20"/>
          <w:szCs w:val="20"/>
        </w:rPr>
        <w:t xml:space="preserve">Mustervertragsklauseln für </w:t>
      </w:r>
      <w:r w:rsidR="005800D5">
        <w:rPr>
          <w:b/>
          <w:sz w:val="20"/>
          <w:szCs w:val="20"/>
        </w:rPr>
        <w:t xml:space="preserve">klinische </w:t>
      </w:r>
      <w:r>
        <w:rPr>
          <w:b/>
          <w:sz w:val="20"/>
          <w:szCs w:val="20"/>
        </w:rPr>
        <w:t xml:space="preserve">Prüfungen mit Arzneimitteln unter Verantwortung eines pharmazeutischen Unternehmens (industrieller </w:t>
      </w:r>
      <w:r w:rsidR="00FE7E99">
        <w:rPr>
          <w:b/>
          <w:sz w:val="20"/>
          <w:szCs w:val="20"/>
        </w:rPr>
        <w:t>Auftraggeber</w:t>
      </w:r>
      <w:r>
        <w:rPr>
          <w:b/>
          <w:sz w:val="20"/>
          <w:szCs w:val="20"/>
        </w:rPr>
        <w:t xml:space="preserve">) </w:t>
      </w:r>
    </w:p>
    <w:p w14:paraId="2232B7CE" w14:textId="77777777" w:rsidR="00B050E9" w:rsidRDefault="00B050E9" w:rsidP="00C70646">
      <w:pPr>
        <w:jc w:val="both"/>
        <w:rPr>
          <w:b/>
          <w:sz w:val="20"/>
          <w:szCs w:val="20"/>
        </w:rPr>
      </w:pPr>
    </w:p>
    <w:p w14:paraId="4FFD2344" w14:textId="77777777" w:rsidR="00B050E9" w:rsidRDefault="00B050E9" w:rsidP="00B050E9">
      <w:pPr>
        <w:jc w:val="both"/>
        <w:rPr>
          <w:b/>
          <w:sz w:val="20"/>
          <w:szCs w:val="20"/>
        </w:rPr>
      </w:pPr>
      <w:r>
        <w:rPr>
          <w:b/>
          <w:sz w:val="20"/>
          <w:szCs w:val="20"/>
        </w:rPr>
        <w:t>Version 2.0</w:t>
      </w:r>
    </w:p>
    <w:p w14:paraId="3D3ECE0E" w14:textId="77777777" w:rsidR="00B050E9" w:rsidRDefault="00B050E9" w:rsidP="00B050E9">
      <w:pPr>
        <w:rPr>
          <w:sz w:val="20"/>
          <w:szCs w:val="20"/>
        </w:rPr>
      </w:pPr>
    </w:p>
    <w:p w14:paraId="2D73CD92" w14:textId="333BDAB0" w:rsidR="00B050E9" w:rsidRPr="00A91CEA" w:rsidRDefault="00B050E9" w:rsidP="00B050E9">
      <w:pPr>
        <w:rPr>
          <w:sz w:val="20"/>
          <w:szCs w:val="20"/>
        </w:rPr>
      </w:pPr>
      <w:r w:rsidRPr="00A91CEA">
        <w:rPr>
          <w:sz w:val="20"/>
          <w:szCs w:val="20"/>
        </w:rPr>
        <w:t xml:space="preserve">Stand </w:t>
      </w:r>
      <w:r w:rsidR="0091456B">
        <w:rPr>
          <w:sz w:val="20"/>
          <w:szCs w:val="20"/>
        </w:rPr>
        <w:t>30</w:t>
      </w:r>
      <w:r>
        <w:rPr>
          <w:sz w:val="20"/>
          <w:szCs w:val="20"/>
        </w:rPr>
        <w:t>.1</w:t>
      </w:r>
      <w:r w:rsidR="002A4D43">
        <w:rPr>
          <w:sz w:val="20"/>
          <w:szCs w:val="20"/>
        </w:rPr>
        <w:t>0</w:t>
      </w:r>
      <w:r>
        <w:rPr>
          <w:sz w:val="20"/>
          <w:szCs w:val="20"/>
        </w:rPr>
        <w:t xml:space="preserve">.2023 </w:t>
      </w:r>
    </w:p>
    <w:p w14:paraId="4EA235C0" w14:textId="77777777" w:rsidR="00B050E9" w:rsidRDefault="00B050E9" w:rsidP="00B050E9">
      <w:pPr>
        <w:rPr>
          <w:sz w:val="20"/>
          <w:szCs w:val="20"/>
        </w:rPr>
      </w:pPr>
    </w:p>
    <w:p w14:paraId="3FF4ED2D" w14:textId="77777777" w:rsidR="00B050E9" w:rsidRPr="00A91CEA" w:rsidRDefault="00B050E9" w:rsidP="00B050E9">
      <w:pPr>
        <w:rPr>
          <w:sz w:val="20"/>
          <w:szCs w:val="20"/>
        </w:rPr>
      </w:pPr>
    </w:p>
    <w:p w14:paraId="63D53483" w14:textId="5B24F459" w:rsidR="00A91CEA" w:rsidRPr="00A91CEA" w:rsidRDefault="00A91CEA" w:rsidP="00A91CEA">
      <w:pPr>
        <w:pStyle w:val="Listenabsatz"/>
        <w:numPr>
          <w:ilvl w:val="0"/>
          <w:numId w:val="15"/>
        </w:numPr>
        <w:spacing w:after="0" w:line="240" w:lineRule="auto"/>
        <w:rPr>
          <w:rFonts w:ascii="Verdana" w:hAnsi="Verdana"/>
          <w:i/>
          <w:sz w:val="20"/>
          <w:szCs w:val="20"/>
        </w:rPr>
      </w:pPr>
      <w:r w:rsidRPr="00A91CEA">
        <w:rPr>
          <w:rFonts w:ascii="Verdana" w:hAnsi="Verdana"/>
          <w:i/>
          <w:sz w:val="20"/>
          <w:szCs w:val="20"/>
        </w:rPr>
        <w:t>Präambel</w:t>
      </w:r>
      <w:r w:rsidR="002A4D43">
        <w:rPr>
          <w:rFonts w:ascii="Verdana" w:hAnsi="Verdana"/>
          <w:i/>
          <w:sz w:val="20"/>
          <w:szCs w:val="20"/>
        </w:rPr>
        <w:t>/Vorwort</w:t>
      </w:r>
    </w:p>
    <w:p w14:paraId="054C6640" w14:textId="77777777" w:rsidR="00A91CEA" w:rsidRPr="00A91CEA" w:rsidRDefault="00A91CEA" w:rsidP="00A91CEA">
      <w:pPr>
        <w:rPr>
          <w:sz w:val="20"/>
          <w:szCs w:val="20"/>
        </w:rPr>
      </w:pPr>
    </w:p>
    <w:p w14:paraId="5EFB64DD" w14:textId="7DD8ADB9" w:rsidR="00A91CEA" w:rsidRDefault="00A91CEA" w:rsidP="00C70646">
      <w:pPr>
        <w:pStyle w:val="VFAText"/>
        <w:jc w:val="both"/>
        <w:rPr>
          <w:color w:val="000000" w:themeColor="text1"/>
        </w:rPr>
      </w:pPr>
      <w:r w:rsidRPr="00420DB3">
        <w:rPr>
          <w:color w:val="000000" w:themeColor="text1"/>
        </w:rPr>
        <w:t>Deutschland</w:t>
      </w:r>
      <w:r w:rsidR="00420DB3">
        <w:rPr>
          <w:color w:val="000000" w:themeColor="text1"/>
        </w:rPr>
        <w:t xml:space="preserve"> war</w:t>
      </w:r>
      <w:r w:rsidRPr="00420DB3">
        <w:rPr>
          <w:color w:val="000000" w:themeColor="text1"/>
        </w:rPr>
        <w:t xml:space="preserve"> als Standort für die Durchführung klinischer Prüfungen </w:t>
      </w:r>
      <w:r w:rsidR="00402BE4">
        <w:rPr>
          <w:color w:val="000000" w:themeColor="text1"/>
        </w:rPr>
        <w:t xml:space="preserve">über viele Jahre hinweg </w:t>
      </w:r>
      <w:r w:rsidRPr="00420DB3">
        <w:rPr>
          <w:color w:val="000000" w:themeColor="text1"/>
        </w:rPr>
        <w:t>gut aufgestellt und international wettbewerbsfähig. Dies zeigt</w:t>
      </w:r>
      <w:r w:rsidR="00420DB3">
        <w:rPr>
          <w:color w:val="000000" w:themeColor="text1"/>
        </w:rPr>
        <w:t>e</w:t>
      </w:r>
      <w:r w:rsidRPr="00420DB3">
        <w:rPr>
          <w:color w:val="000000" w:themeColor="text1"/>
        </w:rPr>
        <w:t xml:space="preserve"> sich </w:t>
      </w:r>
      <w:r w:rsidR="005B2E73">
        <w:rPr>
          <w:color w:val="000000" w:themeColor="text1"/>
        </w:rPr>
        <w:t xml:space="preserve">u. a. </w:t>
      </w:r>
      <w:r w:rsidRPr="00420DB3">
        <w:rPr>
          <w:color w:val="000000" w:themeColor="text1"/>
        </w:rPr>
        <w:t>an seiner Position als Nummer 1 in Europa und Nummer 2 weltweit, hinter den USA,</w:t>
      </w:r>
      <w:r w:rsidR="005800D5" w:rsidRPr="00420DB3">
        <w:rPr>
          <w:color w:val="000000" w:themeColor="text1"/>
        </w:rPr>
        <w:t xml:space="preserve"> </w:t>
      </w:r>
      <w:r w:rsidRPr="00420DB3">
        <w:rPr>
          <w:color w:val="000000" w:themeColor="text1"/>
        </w:rPr>
        <w:t>bei der Anzahl der durchgeführten klinischen Prüfungen.</w:t>
      </w:r>
      <w:r w:rsidR="00420DB3">
        <w:rPr>
          <w:color w:val="000000" w:themeColor="text1"/>
        </w:rPr>
        <w:t xml:space="preserve"> Das ist nicht mehr der Fall</w:t>
      </w:r>
      <w:r w:rsidR="005B2E73">
        <w:rPr>
          <w:color w:val="000000" w:themeColor="text1"/>
        </w:rPr>
        <w:t xml:space="preserve"> und </w:t>
      </w:r>
      <w:r w:rsidR="00402BE4">
        <w:rPr>
          <w:color w:val="000000" w:themeColor="text1"/>
        </w:rPr>
        <w:t xml:space="preserve">mehrere </w:t>
      </w:r>
      <w:r w:rsidR="005B2E73">
        <w:rPr>
          <w:color w:val="000000" w:themeColor="text1"/>
        </w:rPr>
        <w:t xml:space="preserve">Länder auch im europäischen Umfeld haben Deutschland den </w:t>
      </w:r>
      <w:r w:rsidR="00EF36AE">
        <w:rPr>
          <w:color w:val="000000" w:themeColor="text1"/>
        </w:rPr>
        <w:t>Rang</w:t>
      </w:r>
      <w:r w:rsidR="005B2E73">
        <w:rPr>
          <w:color w:val="000000" w:themeColor="text1"/>
        </w:rPr>
        <w:t xml:space="preserve"> abgelaufen</w:t>
      </w:r>
      <w:r w:rsidR="00420DB3">
        <w:rPr>
          <w:color w:val="000000" w:themeColor="text1"/>
        </w:rPr>
        <w:t>.</w:t>
      </w:r>
      <w:r w:rsidRPr="00632983">
        <w:rPr>
          <w:color w:val="000000" w:themeColor="text1"/>
        </w:rPr>
        <w:t xml:space="preserve"> </w:t>
      </w:r>
      <w:r w:rsidR="005B2E73">
        <w:rPr>
          <w:color w:val="000000" w:themeColor="text1"/>
        </w:rPr>
        <w:t xml:space="preserve">Wieder eine </w:t>
      </w:r>
      <w:r>
        <w:rPr>
          <w:color w:val="000000" w:themeColor="text1"/>
        </w:rPr>
        <w:t xml:space="preserve">gute Positionierung </w:t>
      </w:r>
      <w:r w:rsidR="00883135">
        <w:rPr>
          <w:color w:val="000000" w:themeColor="text1"/>
        </w:rPr>
        <w:t>an der Spitze</w:t>
      </w:r>
      <w:r>
        <w:rPr>
          <w:color w:val="000000" w:themeColor="text1"/>
        </w:rPr>
        <w:t xml:space="preserve"> </w:t>
      </w:r>
      <w:r w:rsidR="00420DB3">
        <w:rPr>
          <w:color w:val="000000" w:themeColor="text1"/>
        </w:rPr>
        <w:t>einzunehmen</w:t>
      </w:r>
      <w:r>
        <w:rPr>
          <w:color w:val="000000" w:themeColor="text1"/>
        </w:rPr>
        <w:t xml:space="preserve">, liegt im gemeinsamen Interesse aller Beteiligten im Bereich der </w:t>
      </w:r>
      <w:r w:rsidR="005800D5">
        <w:rPr>
          <w:color w:val="000000" w:themeColor="text1"/>
        </w:rPr>
        <w:t xml:space="preserve">klinischen </w:t>
      </w:r>
      <w:r>
        <w:rPr>
          <w:color w:val="000000" w:themeColor="text1"/>
        </w:rPr>
        <w:t xml:space="preserve">Forschung, der Patienten, der </w:t>
      </w:r>
      <w:r w:rsidR="00190F4D">
        <w:rPr>
          <w:color w:val="000000" w:themeColor="text1"/>
        </w:rPr>
        <w:t xml:space="preserve">Prüfzentren </w:t>
      </w:r>
      <w:r>
        <w:rPr>
          <w:color w:val="000000" w:themeColor="text1"/>
        </w:rPr>
        <w:t xml:space="preserve">und der </w:t>
      </w:r>
      <w:r w:rsidR="00FE7E99">
        <w:rPr>
          <w:color w:val="000000" w:themeColor="text1"/>
        </w:rPr>
        <w:t>Auftraggeber</w:t>
      </w:r>
      <w:r>
        <w:rPr>
          <w:color w:val="000000" w:themeColor="text1"/>
        </w:rPr>
        <w:t xml:space="preserve"> klinischer Prüfungen. </w:t>
      </w:r>
    </w:p>
    <w:p w14:paraId="6D59544A" w14:textId="77777777" w:rsidR="00A91CEA" w:rsidRDefault="00A91CEA" w:rsidP="00C70646">
      <w:pPr>
        <w:pStyle w:val="VFAText"/>
        <w:jc w:val="both"/>
        <w:rPr>
          <w:color w:val="000000" w:themeColor="text1"/>
        </w:rPr>
      </w:pPr>
      <w:r>
        <w:rPr>
          <w:color w:val="000000" w:themeColor="text1"/>
        </w:rPr>
        <w:t>Die</w:t>
      </w:r>
      <w:r w:rsidRPr="00B95B68">
        <w:rPr>
          <w:color w:val="000000" w:themeColor="text1"/>
        </w:rPr>
        <w:t xml:space="preserve"> Durchführung klinischer </w:t>
      </w:r>
      <w:r>
        <w:rPr>
          <w:color w:val="000000" w:themeColor="text1"/>
        </w:rPr>
        <w:t>Prüfungen</w:t>
      </w:r>
      <w:r w:rsidRPr="00B95B68">
        <w:rPr>
          <w:color w:val="000000" w:themeColor="text1"/>
        </w:rPr>
        <w:t xml:space="preserve"> unterliegt häufig zeitlichem Druck</w:t>
      </w:r>
      <w:r w:rsidR="005800D5">
        <w:rPr>
          <w:color w:val="000000" w:themeColor="text1"/>
        </w:rPr>
        <w:t>,</w:t>
      </w:r>
      <w:r>
        <w:rPr>
          <w:color w:val="000000" w:themeColor="text1"/>
        </w:rPr>
        <w:t xml:space="preserve"> und insbesondere </w:t>
      </w:r>
      <w:r w:rsidRPr="00524379">
        <w:rPr>
          <w:color w:val="000000" w:themeColor="text1"/>
        </w:rPr>
        <w:t xml:space="preserve">bis zum Start einer klinischen Prüfung spielt </w:t>
      </w:r>
      <w:r>
        <w:rPr>
          <w:color w:val="000000" w:themeColor="text1"/>
        </w:rPr>
        <w:t>der Faktor „Zeit“ im internationalen Vergleich eine wichtige Rolle</w:t>
      </w:r>
      <w:r w:rsidRPr="00B95B68">
        <w:rPr>
          <w:color w:val="000000" w:themeColor="text1"/>
        </w:rPr>
        <w:t>. Um eine klinische Prüfung möglichst frühzeitig beginnen zu können, sollten auch die zugrundeliegenden Verträge zwischen den Beteiligten schnell</w:t>
      </w:r>
      <w:r>
        <w:rPr>
          <w:color w:val="000000" w:themeColor="text1"/>
        </w:rPr>
        <w:t>,</w:t>
      </w:r>
      <w:r w:rsidRPr="00B95B68">
        <w:rPr>
          <w:color w:val="000000" w:themeColor="text1"/>
        </w:rPr>
        <w:t xml:space="preserve"> einfach</w:t>
      </w:r>
      <w:r>
        <w:rPr>
          <w:color w:val="000000" w:themeColor="text1"/>
        </w:rPr>
        <w:t xml:space="preserve"> und </w:t>
      </w:r>
      <w:r w:rsidRPr="00B95B68">
        <w:rPr>
          <w:color w:val="000000" w:themeColor="text1"/>
        </w:rPr>
        <w:t xml:space="preserve">inhaltlich umfassend abgeschlossen werden können. Vor diesem Hintergrund erscheint es hilfreich, wenn die </w:t>
      </w:r>
      <w:proofErr w:type="gramStart"/>
      <w:r w:rsidRPr="00B95B68">
        <w:rPr>
          <w:color w:val="000000" w:themeColor="text1"/>
        </w:rPr>
        <w:t>potentiellen</w:t>
      </w:r>
      <w:proofErr w:type="gramEnd"/>
      <w:r w:rsidRPr="00B95B68">
        <w:rPr>
          <w:color w:val="000000" w:themeColor="text1"/>
        </w:rPr>
        <w:t xml:space="preserve"> Vertragspartner in ihren jeweiligen Verhandlungen über</w:t>
      </w:r>
      <w:r w:rsidR="005800D5">
        <w:rPr>
          <w:color w:val="000000" w:themeColor="text1"/>
        </w:rPr>
        <w:t xml:space="preserve"> </w:t>
      </w:r>
      <w:r>
        <w:rPr>
          <w:color w:val="000000" w:themeColor="text1"/>
        </w:rPr>
        <w:t xml:space="preserve">eine </w:t>
      </w:r>
      <w:r w:rsidRPr="00524379">
        <w:rPr>
          <w:color w:val="000000" w:themeColor="text1"/>
        </w:rPr>
        <w:t>Orientierungshilfe</w:t>
      </w:r>
      <w:r w:rsidR="005800D5">
        <w:rPr>
          <w:color w:val="000000" w:themeColor="text1"/>
        </w:rPr>
        <w:t xml:space="preserve"> </w:t>
      </w:r>
      <w:r>
        <w:rPr>
          <w:color w:val="000000" w:themeColor="text1"/>
        </w:rPr>
        <w:t xml:space="preserve">in Form von Mustervertragsklauseln </w:t>
      </w:r>
      <w:r w:rsidRPr="00B95B68">
        <w:rPr>
          <w:color w:val="000000" w:themeColor="text1"/>
        </w:rPr>
        <w:t xml:space="preserve">verfügen, </w:t>
      </w:r>
      <w:r>
        <w:rPr>
          <w:color w:val="000000" w:themeColor="text1"/>
        </w:rPr>
        <w:t>in denen</w:t>
      </w:r>
      <w:r w:rsidR="005800D5">
        <w:rPr>
          <w:color w:val="000000" w:themeColor="text1"/>
        </w:rPr>
        <w:t xml:space="preserve"> </w:t>
      </w:r>
      <w:r>
        <w:rPr>
          <w:color w:val="000000" w:themeColor="text1"/>
        </w:rPr>
        <w:t>bestimmte</w:t>
      </w:r>
      <w:r w:rsidR="005800D5">
        <w:rPr>
          <w:color w:val="000000" w:themeColor="text1"/>
        </w:rPr>
        <w:t>,</w:t>
      </w:r>
      <w:r>
        <w:rPr>
          <w:color w:val="000000" w:themeColor="text1"/>
        </w:rPr>
        <w:t xml:space="preserve"> </w:t>
      </w:r>
      <w:r w:rsidRPr="00B95B68">
        <w:rPr>
          <w:color w:val="000000" w:themeColor="text1"/>
        </w:rPr>
        <w:t xml:space="preserve">stetig wiederkehrende </w:t>
      </w:r>
      <w:r>
        <w:rPr>
          <w:color w:val="000000" w:themeColor="text1"/>
        </w:rPr>
        <w:t>vertragliche Regelungen</w:t>
      </w:r>
      <w:r w:rsidR="005800D5">
        <w:rPr>
          <w:color w:val="000000" w:themeColor="text1"/>
        </w:rPr>
        <w:t xml:space="preserve"> </w:t>
      </w:r>
      <w:r>
        <w:rPr>
          <w:color w:val="000000" w:themeColor="text1"/>
        </w:rPr>
        <w:t xml:space="preserve">in Verträgen zur Durchführung klinischer Prüfungen </w:t>
      </w:r>
      <w:r w:rsidRPr="00B95B68">
        <w:rPr>
          <w:color w:val="000000" w:themeColor="text1"/>
        </w:rPr>
        <w:t xml:space="preserve">beispielhaft </w:t>
      </w:r>
      <w:r>
        <w:rPr>
          <w:color w:val="000000" w:themeColor="text1"/>
        </w:rPr>
        <w:t>zusammengestellt sind und somit die Vertragsverhandlungen in diesen Bereichen vereinfachen</w:t>
      </w:r>
      <w:r w:rsidRPr="00B95B68">
        <w:rPr>
          <w:color w:val="000000" w:themeColor="text1"/>
        </w:rPr>
        <w:t>.</w:t>
      </w:r>
    </w:p>
    <w:p w14:paraId="1C68AA0B" w14:textId="77777777" w:rsidR="00EF06B5" w:rsidRDefault="00EF06B5" w:rsidP="00EF06B5">
      <w:pPr>
        <w:pStyle w:val="VFAText"/>
        <w:jc w:val="both"/>
        <w:rPr>
          <w:color w:val="000000" w:themeColor="text1"/>
        </w:rPr>
      </w:pPr>
      <w:r w:rsidRPr="00BE045C">
        <w:rPr>
          <w:color w:val="000000" w:themeColor="text1"/>
        </w:rPr>
        <w:t>Zur Weiterverfolgung d</w:t>
      </w:r>
      <w:r>
        <w:rPr>
          <w:color w:val="000000" w:themeColor="text1"/>
        </w:rPr>
        <w:t>i</w:t>
      </w:r>
      <w:r w:rsidRPr="00BE045C">
        <w:rPr>
          <w:color w:val="000000" w:themeColor="text1"/>
        </w:rPr>
        <w:t>es</w:t>
      </w:r>
      <w:r>
        <w:rPr>
          <w:color w:val="000000" w:themeColor="text1"/>
        </w:rPr>
        <w:t>er</w:t>
      </w:r>
      <w:r w:rsidRPr="00BE045C">
        <w:rPr>
          <w:color w:val="000000" w:themeColor="text1"/>
        </w:rPr>
        <w:t xml:space="preserve"> gemeinsamen Ziele haben Vertreter des Medizinischen Fakultätentags (MFT), des Verbandes der Universitätsklinika Deutschlands (VUD), der Koordinierungszentren für Klinische Studien (KKS-Netzwerk) und des Verbandes forschender Arzneimittelhersteller (</w:t>
      </w:r>
      <w:proofErr w:type="spellStart"/>
      <w:r w:rsidRPr="00BE045C">
        <w:rPr>
          <w:color w:val="000000" w:themeColor="text1"/>
        </w:rPr>
        <w:t>vfa</w:t>
      </w:r>
      <w:proofErr w:type="spellEnd"/>
      <w:r w:rsidRPr="00BE045C">
        <w:rPr>
          <w:color w:val="000000" w:themeColor="text1"/>
        </w:rPr>
        <w:t>) die nachstehenden Mustervertragsklauseln</w:t>
      </w:r>
      <w:r>
        <w:rPr>
          <w:color w:val="000000" w:themeColor="text1"/>
        </w:rPr>
        <w:t xml:space="preserve"> </w:t>
      </w:r>
      <w:r w:rsidRPr="00BE045C">
        <w:rPr>
          <w:color w:val="000000" w:themeColor="text1"/>
        </w:rPr>
        <w:t>entworfen</w:t>
      </w:r>
      <w:r>
        <w:rPr>
          <w:color w:val="000000" w:themeColor="text1"/>
        </w:rPr>
        <w:t>, welche die unterschiedlichen Interessenlagen aller Beteiligten berücksichtigen sollen</w:t>
      </w:r>
      <w:r w:rsidRPr="00BE045C">
        <w:rPr>
          <w:color w:val="000000" w:themeColor="text1"/>
        </w:rPr>
        <w:t>.</w:t>
      </w:r>
      <w:r>
        <w:rPr>
          <w:color w:val="000000" w:themeColor="text1"/>
        </w:rPr>
        <w:t xml:space="preserve"> Die hier vorgenommene Berücksichtigung der jeweiligen Interessen kann darüber hinaus Anhaltspunkte für ähnlich gelagerte Vertragsverhältnisse im Bereich der Gesundheitsforschung geben.</w:t>
      </w:r>
    </w:p>
    <w:p w14:paraId="1C5BF104" w14:textId="2EE5F94D" w:rsidR="00EF06B5" w:rsidRDefault="00420DB3" w:rsidP="00EF06B5">
      <w:pPr>
        <w:pStyle w:val="VFAText"/>
        <w:jc w:val="both"/>
        <w:rPr>
          <w:color w:val="000000" w:themeColor="text1"/>
        </w:rPr>
      </w:pPr>
      <w:r>
        <w:rPr>
          <w:color w:val="000000" w:themeColor="text1"/>
        </w:rPr>
        <w:t>Nach der ersten Veröffentlichung der Mustervert</w:t>
      </w:r>
      <w:r w:rsidR="00EF36AE">
        <w:rPr>
          <w:color w:val="000000" w:themeColor="text1"/>
        </w:rPr>
        <w:t>r</w:t>
      </w:r>
      <w:r>
        <w:rPr>
          <w:color w:val="000000" w:themeColor="text1"/>
        </w:rPr>
        <w:t>agsklauseln im Jahr 2019 sind mit</w:t>
      </w:r>
      <w:r w:rsidR="00EF06B5">
        <w:rPr>
          <w:color w:val="000000" w:themeColor="text1"/>
        </w:rPr>
        <w:t xml:space="preserve"> der vorliegenden Version 2.0 die Mustervertragsklauseln zu den Themenbereichen „</w:t>
      </w:r>
      <w:r w:rsidR="001B4A1B">
        <w:rPr>
          <w:b/>
          <w:bCs/>
          <w:i/>
          <w:iCs/>
          <w:color w:val="000000" w:themeColor="text1"/>
        </w:rPr>
        <w:t>Rechte an Ergebnissen</w:t>
      </w:r>
      <w:r w:rsidR="00EF06B5">
        <w:rPr>
          <w:color w:val="000000" w:themeColor="text1"/>
        </w:rPr>
        <w:t xml:space="preserve">“ </w:t>
      </w:r>
      <w:r w:rsidR="004B3960">
        <w:rPr>
          <w:color w:val="000000" w:themeColor="text1"/>
        </w:rPr>
        <w:t xml:space="preserve">(siehe unter 4) </w:t>
      </w:r>
      <w:r w:rsidR="00C76847">
        <w:rPr>
          <w:color w:val="000000" w:themeColor="text1"/>
        </w:rPr>
        <w:t>und „</w:t>
      </w:r>
      <w:r w:rsidR="001B4A1B" w:rsidRPr="00635811">
        <w:rPr>
          <w:b/>
          <w:bCs/>
          <w:i/>
          <w:iCs/>
          <w:color w:val="000000" w:themeColor="text1"/>
        </w:rPr>
        <w:t xml:space="preserve">Regelung des Verhältnisses </w:t>
      </w:r>
      <w:r w:rsidR="00FE7E99">
        <w:rPr>
          <w:b/>
          <w:bCs/>
          <w:i/>
          <w:iCs/>
          <w:color w:val="000000" w:themeColor="text1"/>
        </w:rPr>
        <w:t>Auftraggeber</w:t>
      </w:r>
      <w:r w:rsidR="001B4A1B" w:rsidRPr="00635811">
        <w:rPr>
          <w:b/>
          <w:bCs/>
          <w:i/>
          <w:iCs/>
          <w:color w:val="000000" w:themeColor="text1"/>
        </w:rPr>
        <w:t xml:space="preserve"> – Prüfzentrum gemäß den Vorgaben der EU-Datenschutzgrundverordnung</w:t>
      </w:r>
      <w:r w:rsidR="00C76847">
        <w:rPr>
          <w:color w:val="000000" w:themeColor="text1"/>
        </w:rPr>
        <w:t xml:space="preserve">“ (siehe unter 8) </w:t>
      </w:r>
      <w:r w:rsidR="00EF06B5">
        <w:rPr>
          <w:color w:val="000000" w:themeColor="text1"/>
        </w:rPr>
        <w:t xml:space="preserve">neu hinzugekommen. </w:t>
      </w:r>
    </w:p>
    <w:p w14:paraId="0BC5EF44" w14:textId="77777777" w:rsidR="003A0888" w:rsidRPr="003A0888" w:rsidRDefault="003A0888" w:rsidP="003A0888">
      <w:pPr>
        <w:pStyle w:val="VFAText"/>
        <w:rPr>
          <w:color w:val="000000" w:themeColor="text1"/>
        </w:rPr>
      </w:pPr>
      <w:r w:rsidRPr="003A0888">
        <w:rPr>
          <w:color w:val="000000" w:themeColor="text1"/>
        </w:rPr>
        <w:lastRenderedPageBreak/>
        <w:t xml:space="preserve">Der Bundesverband der Pharmazeutischen Industrie (BPI) und der Bundesverband Medizinischer Auftragsinstitute (BVMA) unterstützen diese Version 2.0 der Mustervertragsklauseln für klinische Prüfungen mit Arzneimitteln ausdrücklich. </w:t>
      </w:r>
    </w:p>
    <w:p w14:paraId="6D6A6B02" w14:textId="77777777" w:rsidR="003A0888" w:rsidRDefault="003A0888" w:rsidP="00EF06B5">
      <w:pPr>
        <w:pStyle w:val="VFAText"/>
        <w:jc w:val="both"/>
        <w:rPr>
          <w:color w:val="000000" w:themeColor="text1"/>
        </w:rPr>
      </w:pPr>
    </w:p>
    <w:p w14:paraId="7E000827" w14:textId="77777777" w:rsidR="00A91CEA" w:rsidRPr="002A4D43" w:rsidRDefault="00A91CEA" w:rsidP="00C70646">
      <w:pPr>
        <w:pStyle w:val="Listenabsatz"/>
        <w:numPr>
          <w:ilvl w:val="0"/>
          <w:numId w:val="15"/>
        </w:numPr>
        <w:spacing w:after="260" w:line="260" w:lineRule="exact"/>
        <w:jc w:val="both"/>
        <w:rPr>
          <w:rFonts w:ascii="Verdana" w:hAnsi="Verdana"/>
          <w:i/>
          <w:sz w:val="20"/>
          <w:szCs w:val="20"/>
          <w:u w:val="single"/>
        </w:rPr>
      </w:pPr>
      <w:r w:rsidRPr="002A4D43">
        <w:rPr>
          <w:rFonts w:ascii="Verdana" w:hAnsi="Verdana"/>
          <w:i/>
          <w:sz w:val="20"/>
          <w:szCs w:val="20"/>
          <w:u w:val="single"/>
        </w:rPr>
        <w:t>Anwendungshinweise</w:t>
      </w:r>
    </w:p>
    <w:p w14:paraId="6245BE32" w14:textId="2EF18633" w:rsidR="00A91CEA" w:rsidRPr="00BE045C" w:rsidRDefault="00A91CEA" w:rsidP="00C70646">
      <w:pPr>
        <w:spacing w:after="260" w:line="260" w:lineRule="exact"/>
        <w:jc w:val="both"/>
        <w:rPr>
          <w:sz w:val="20"/>
          <w:szCs w:val="20"/>
        </w:rPr>
      </w:pPr>
      <w:r w:rsidRPr="00A91CEA">
        <w:rPr>
          <w:sz w:val="20"/>
          <w:szCs w:val="20"/>
        </w:rPr>
        <w:t xml:space="preserve">Die </w:t>
      </w:r>
      <w:bookmarkStart w:id="0" w:name="_Hlk489891280"/>
      <w:r w:rsidRPr="00A91CEA">
        <w:rPr>
          <w:sz w:val="20"/>
          <w:szCs w:val="20"/>
        </w:rPr>
        <w:t>nachstehenden</w:t>
      </w:r>
      <w:r w:rsidRPr="00BE045C">
        <w:rPr>
          <w:sz w:val="20"/>
          <w:szCs w:val="20"/>
        </w:rPr>
        <w:t xml:space="preserve"> Mustervertragsklauseln </w:t>
      </w:r>
      <w:bookmarkEnd w:id="0"/>
      <w:r w:rsidRPr="00BE045C">
        <w:rPr>
          <w:sz w:val="20"/>
          <w:szCs w:val="20"/>
        </w:rPr>
        <w:t xml:space="preserve">können keine bindende Wirkung entfalten, sollen aber für Mitglieder der Verfasser und sonstige Dritte als Orientierungshilfe für Verhandlungen </w:t>
      </w:r>
      <w:r>
        <w:rPr>
          <w:sz w:val="20"/>
          <w:szCs w:val="20"/>
        </w:rPr>
        <w:t>von Prüfverträgen</w:t>
      </w:r>
      <w:r w:rsidR="00536240" w:rsidRPr="00536240">
        <w:rPr>
          <w:sz w:val="20"/>
          <w:szCs w:val="20"/>
        </w:rPr>
        <w:t xml:space="preserve"> zur Durchführung von klinischen Prüfungen der Phasen I-IV</w:t>
      </w:r>
      <w:r>
        <w:rPr>
          <w:sz w:val="20"/>
          <w:szCs w:val="20"/>
        </w:rPr>
        <w:t xml:space="preserve"> dienen</w:t>
      </w:r>
      <w:r w:rsidRPr="00BE045C">
        <w:rPr>
          <w:sz w:val="20"/>
          <w:szCs w:val="20"/>
        </w:rPr>
        <w:t xml:space="preserve">. Sie sind als Formulierungsvorschläge für die Regelung </w:t>
      </w:r>
      <w:r>
        <w:rPr>
          <w:sz w:val="20"/>
          <w:szCs w:val="20"/>
        </w:rPr>
        <w:t>einzelner</w:t>
      </w:r>
      <w:r w:rsidRPr="00BE045C">
        <w:rPr>
          <w:sz w:val="20"/>
          <w:szCs w:val="20"/>
        </w:rPr>
        <w:t xml:space="preserve"> Sachverhalte zu verstehen, die regelmäßig Gegenstand </w:t>
      </w:r>
      <w:r>
        <w:rPr>
          <w:sz w:val="20"/>
          <w:szCs w:val="20"/>
        </w:rPr>
        <w:t>solcher Verhandlungen</w:t>
      </w:r>
      <w:r w:rsidRPr="00BE045C">
        <w:rPr>
          <w:sz w:val="20"/>
          <w:szCs w:val="20"/>
        </w:rPr>
        <w:t xml:space="preserve"> sind. </w:t>
      </w:r>
      <w:r>
        <w:rPr>
          <w:sz w:val="20"/>
          <w:szCs w:val="20"/>
        </w:rPr>
        <w:t>Es handelt sich nicht um einen vollständigen Mustervertrag.</w:t>
      </w:r>
    </w:p>
    <w:p w14:paraId="289E7216" w14:textId="77777777" w:rsidR="00A91CEA" w:rsidRDefault="00A91CEA" w:rsidP="00C70646">
      <w:pPr>
        <w:spacing w:after="260" w:line="260" w:lineRule="exact"/>
        <w:jc w:val="both"/>
        <w:rPr>
          <w:sz w:val="20"/>
          <w:szCs w:val="20"/>
        </w:rPr>
      </w:pPr>
      <w:r w:rsidRPr="00BE045C">
        <w:rPr>
          <w:sz w:val="20"/>
          <w:szCs w:val="20"/>
        </w:rPr>
        <w:t>Bei der Nutzung dieser Mustervertragsklauseln ist Folgendes zu beachten:</w:t>
      </w:r>
    </w:p>
    <w:p w14:paraId="618B7B60" w14:textId="4BD65907" w:rsidR="00A91CEA" w:rsidRPr="00BE045C" w:rsidRDefault="00A91CEA" w:rsidP="00C70646">
      <w:pPr>
        <w:numPr>
          <w:ilvl w:val="0"/>
          <w:numId w:val="16"/>
        </w:numPr>
        <w:spacing w:after="260" w:line="260" w:lineRule="exact"/>
        <w:jc w:val="both"/>
        <w:rPr>
          <w:sz w:val="20"/>
          <w:szCs w:val="20"/>
        </w:rPr>
      </w:pPr>
      <w:r>
        <w:rPr>
          <w:sz w:val="20"/>
          <w:szCs w:val="20"/>
        </w:rPr>
        <w:t xml:space="preserve">In der Praxis werden Prüfverträge typischerweise entweder zwischen </w:t>
      </w:r>
      <w:r w:rsidR="00857F46">
        <w:rPr>
          <w:sz w:val="20"/>
          <w:szCs w:val="20"/>
        </w:rPr>
        <w:t xml:space="preserve">dem </w:t>
      </w:r>
      <w:r>
        <w:rPr>
          <w:sz w:val="20"/>
          <w:szCs w:val="20"/>
        </w:rPr>
        <w:t xml:space="preserve">Auftraggeber </w:t>
      </w:r>
      <w:r w:rsidR="00857F46">
        <w:rPr>
          <w:sz w:val="20"/>
          <w:szCs w:val="20"/>
        </w:rPr>
        <w:t>(Sponsor</w:t>
      </w:r>
      <w:r w:rsidR="005344A0">
        <w:rPr>
          <w:sz w:val="20"/>
          <w:szCs w:val="20"/>
        </w:rPr>
        <w:t xml:space="preserve"> oder</w:t>
      </w:r>
      <w:r w:rsidR="00857F46">
        <w:rPr>
          <w:sz w:val="20"/>
          <w:szCs w:val="20"/>
        </w:rPr>
        <w:t xml:space="preserve"> eine seiner Konzerngesellschaften) und dem Prüfzentrum </w:t>
      </w:r>
      <w:r w:rsidR="00DB56AF">
        <w:rPr>
          <w:sz w:val="20"/>
          <w:szCs w:val="20"/>
        </w:rPr>
        <w:t xml:space="preserve">(Institution/Auftragnehmer) </w:t>
      </w:r>
      <w:r>
        <w:rPr>
          <w:sz w:val="20"/>
          <w:szCs w:val="20"/>
        </w:rPr>
        <w:t>(</w:t>
      </w:r>
      <w:r w:rsidRPr="006F71FD">
        <w:rPr>
          <w:b/>
          <w:sz w:val="20"/>
          <w:szCs w:val="20"/>
        </w:rPr>
        <w:t>Zwei-Parteien-Vertrag</w:t>
      </w:r>
      <w:r>
        <w:rPr>
          <w:sz w:val="20"/>
          <w:szCs w:val="20"/>
        </w:rPr>
        <w:t>)</w:t>
      </w:r>
      <w:r w:rsidR="00406EFA">
        <w:rPr>
          <w:rStyle w:val="Funotenzeichen"/>
          <w:sz w:val="20"/>
          <w:szCs w:val="20"/>
        </w:rPr>
        <w:footnoteReference w:id="1"/>
      </w:r>
      <w:r>
        <w:rPr>
          <w:sz w:val="20"/>
          <w:szCs w:val="20"/>
        </w:rPr>
        <w:t xml:space="preserve"> oder zwischen </w:t>
      </w:r>
      <w:r w:rsidR="00857F46">
        <w:rPr>
          <w:sz w:val="20"/>
          <w:szCs w:val="20"/>
        </w:rPr>
        <w:t>Prüfzentrum</w:t>
      </w:r>
      <w:r>
        <w:rPr>
          <w:sz w:val="20"/>
          <w:szCs w:val="20"/>
        </w:rPr>
        <w:t>, Prüfer und Auftraggeber (</w:t>
      </w:r>
      <w:r w:rsidRPr="006F71FD">
        <w:rPr>
          <w:b/>
          <w:sz w:val="20"/>
          <w:szCs w:val="20"/>
        </w:rPr>
        <w:t>Drei-Parteien-Vertrag</w:t>
      </w:r>
      <w:r>
        <w:rPr>
          <w:sz w:val="20"/>
          <w:szCs w:val="20"/>
        </w:rPr>
        <w:t xml:space="preserve">) als Vertragsparteien abgeschlossen. </w:t>
      </w:r>
      <w:r w:rsidRPr="00BE045C">
        <w:rPr>
          <w:sz w:val="20"/>
          <w:szCs w:val="20"/>
        </w:rPr>
        <w:t>D</w:t>
      </w:r>
      <w:r>
        <w:rPr>
          <w:sz w:val="20"/>
          <w:szCs w:val="20"/>
        </w:rPr>
        <w:t>en</w:t>
      </w:r>
      <w:r w:rsidRPr="00BE045C">
        <w:rPr>
          <w:sz w:val="20"/>
          <w:szCs w:val="20"/>
        </w:rPr>
        <w:t xml:space="preserve"> Mustervertragsklauseln </w:t>
      </w:r>
      <w:r>
        <w:rPr>
          <w:sz w:val="20"/>
          <w:szCs w:val="20"/>
        </w:rPr>
        <w:t>liegt das Modell des Zwei-Parteien-Vertrages zugrunde. Um dabei die Interessen aller Beteiligten ausreichend zu berücksichtigen, ist es erforderlich, dass der Prüfer sowie weitere Prüfärzte</w:t>
      </w:r>
      <w:r w:rsidR="005800D5">
        <w:rPr>
          <w:sz w:val="20"/>
          <w:szCs w:val="20"/>
        </w:rPr>
        <w:t xml:space="preserve"> </w:t>
      </w:r>
      <w:r>
        <w:rPr>
          <w:sz w:val="20"/>
          <w:szCs w:val="20"/>
        </w:rPr>
        <w:t xml:space="preserve">in </w:t>
      </w:r>
      <w:r w:rsidRPr="00BE045C">
        <w:rPr>
          <w:sz w:val="20"/>
          <w:szCs w:val="20"/>
        </w:rPr>
        <w:t>eine</w:t>
      </w:r>
      <w:r>
        <w:rPr>
          <w:sz w:val="20"/>
          <w:szCs w:val="20"/>
        </w:rPr>
        <w:t>r</w:t>
      </w:r>
      <w:r w:rsidRPr="00BE045C">
        <w:rPr>
          <w:sz w:val="20"/>
          <w:szCs w:val="20"/>
        </w:rPr>
        <w:t xml:space="preserve"> Erklärung </w:t>
      </w:r>
      <w:r>
        <w:rPr>
          <w:sz w:val="20"/>
          <w:szCs w:val="20"/>
        </w:rPr>
        <w:t>gewisse</w:t>
      </w:r>
      <w:r w:rsidR="005800D5">
        <w:rPr>
          <w:sz w:val="20"/>
          <w:szCs w:val="20"/>
        </w:rPr>
        <w:t xml:space="preserve"> </w:t>
      </w:r>
      <w:r>
        <w:rPr>
          <w:sz w:val="20"/>
          <w:szCs w:val="20"/>
        </w:rPr>
        <w:t>Verp</w:t>
      </w:r>
      <w:r w:rsidRPr="00BE045C">
        <w:rPr>
          <w:sz w:val="20"/>
          <w:szCs w:val="20"/>
        </w:rPr>
        <w:t>flicht</w:t>
      </w:r>
      <w:r>
        <w:rPr>
          <w:sz w:val="20"/>
          <w:szCs w:val="20"/>
        </w:rPr>
        <w:t xml:space="preserve">ungen übernehmen. Ein entsprechendes </w:t>
      </w:r>
      <w:r w:rsidRPr="00BE045C">
        <w:rPr>
          <w:sz w:val="20"/>
          <w:szCs w:val="20"/>
        </w:rPr>
        <w:t>Muster</w:t>
      </w:r>
      <w:r>
        <w:rPr>
          <w:sz w:val="20"/>
          <w:szCs w:val="20"/>
        </w:rPr>
        <w:t xml:space="preserve"> ist</w:t>
      </w:r>
      <w:r w:rsidRPr="00BE045C">
        <w:rPr>
          <w:sz w:val="20"/>
          <w:szCs w:val="20"/>
        </w:rPr>
        <w:t xml:space="preserve"> diesen Mustervertragsklauseln </w:t>
      </w:r>
      <w:r>
        <w:rPr>
          <w:sz w:val="20"/>
          <w:szCs w:val="20"/>
        </w:rPr>
        <w:t xml:space="preserve">als Anlage </w:t>
      </w:r>
      <w:r w:rsidRPr="00BE045C">
        <w:rPr>
          <w:sz w:val="20"/>
          <w:szCs w:val="20"/>
        </w:rPr>
        <w:t xml:space="preserve">beigefügt. </w:t>
      </w:r>
      <w:r>
        <w:rPr>
          <w:sz w:val="20"/>
          <w:szCs w:val="20"/>
        </w:rPr>
        <w:t>Im Falle eines Drei-Parteien-Vertrages</w:t>
      </w:r>
      <w:r w:rsidRPr="00BE045C">
        <w:rPr>
          <w:sz w:val="20"/>
          <w:szCs w:val="20"/>
        </w:rPr>
        <w:t xml:space="preserve"> können die </w:t>
      </w:r>
      <w:r>
        <w:rPr>
          <w:sz w:val="20"/>
          <w:szCs w:val="20"/>
        </w:rPr>
        <w:t>Verp</w:t>
      </w:r>
      <w:r w:rsidRPr="00BE045C">
        <w:rPr>
          <w:sz w:val="20"/>
          <w:szCs w:val="20"/>
        </w:rPr>
        <w:t>flicht</w:t>
      </w:r>
      <w:r>
        <w:rPr>
          <w:sz w:val="20"/>
          <w:szCs w:val="20"/>
        </w:rPr>
        <w:t xml:space="preserve">ungen des Prüfers </w:t>
      </w:r>
      <w:r w:rsidRPr="00BE045C">
        <w:rPr>
          <w:sz w:val="20"/>
          <w:szCs w:val="20"/>
        </w:rPr>
        <w:t xml:space="preserve">auch Bestandteil </w:t>
      </w:r>
      <w:r>
        <w:rPr>
          <w:sz w:val="20"/>
          <w:szCs w:val="20"/>
        </w:rPr>
        <w:t>des</w:t>
      </w:r>
      <w:r w:rsidR="005800D5">
        <w:rPr>
          <w:sz w:val="20"/>
          <w:szCs w:val="20"/>
        </w:rPr>
        <w:t xml:space="preserve"> </w:t>
      </w:r>
      <w:r>
        <w:rPr>
          <w:sz w:val="20"/>
          <w:szCs w:val="20"/>
        </w:rPr>
        <w:t xml:space="preserve">Vertrages zur Durchführung einer klinischen Prüfung zwischen </w:t>
      </w:r>
      <w:r w:rsidR="00857F46">
        <w:rPr>
          <w:sz w:val="20"/>
          <w:szCs w:val="20"/>
        </w:rPr>
        <w:t>Prüfzentrum</w:t>
      </w:r>
      <w:r>
        <w:rPr>
          <w:sz w:val="20"/>
          <w:szCs w:val="20"/>
        </w:rPr>
        <w:t>, Prüfer und Auftraggeber sein</w:t>
      </w:r>
      <w:r w:rsidRPr="00BE045C">
        <w:rPr>
          <w:sz w:val="20"/>
          <w:szCs w:val="20"/>
        </w:rPr>
        <w:t>.</w:t>
      </w:r>
      <w:r>
        <w:rPr>
          <w:sz w:val="20"/>
          <w:szCs w:val="20"/>
        </w:rPr>
        <w:t xml:space="preserve"> Dabei ist darauf zu achten, dass der Prüfer als Vertragspartei explizit benannt und der individuelle Vertragstext um Aspekte aus der </w:t>
      </w:r>
      <w:r w:rsidRPr="00BE045C">
        <w:rPr>
          <w:sz w:val="20"/>
          <w:szCs w:val="20"/>
        </w:rPr>
        <w:t>Muster-Anlage</w:t>
      </w:r>
      <w:r>
        <w:rPr>
          <w:sz w:val="20"/>
          <w:szCs w:val="20"/>
        </w:rPr>
        <w:t xml:space="preserve"> zu </w:t>
      </w:r>
      <w:r w:rsidRPr="00BE045C">
        <w:rPr>
          <w:sz w:val="20"/>
          <w:szCs w:val="20"/>
        </w:rPr>
        <w:t>Prüferpflichten</w:t>
      </w:r>
      <w:r>
        <w:rPr>
          <w:sz w:val="20"/>
          <w:szCs w:val="20"/>
        </w:rPr>
        <w:t xml:space="preserve"> ergänzt </w:t>
      </w:r>
      <w:r w:rsidRPr="00524379">
        <w:rPr>
          <w:sz w:val="20"/>
          <w:szCs w:val="20"/>
        </w:rPr>
        <w:t>wird</w:t>
      </w:r>
      <w:r>
        <w:rPr>
          <w:sz w:val="20"/>
          <w:szCs w:val="20"/>
        </w:rPr>
        <w:t>.</w:t>
      </w:r>
    </w:p>
    <w:p w14:paraId="3F08F35B" w14:textId="77777777" w:rsidR="00A91CEA" w:rsidRPr="00BE045C" w:rsidRDefault="00A91CEA" w:rsidP="00C70646">
      <w:pPr>
        <w:numPr>
          <w:ilvl w:val="0"/>
          <w:numId w:val="16"/>
        </w:numPr>
        <w:spacing w:after="260" w:line="260" w:lineRule="exact"/>
        <w:jc w:val="both"/>
        <w:rPr>
          <w:sz w:val="20"/>
          <w:szCs w:val="20"/>
        </w:rPr>
      </w:pPr>
      <w:r w:rsidRPr="00BE045C">
        <w:rPr>
          <w:sz w:val="20"/>
          <w:szCs w:val="20"/>
        </w:rPr>
        <w:t xml:space="preserve">In den Mustervertragsklauseln sind </w:t>
      </w:r>
      <w:r>
        <w:rPr>
          <w:sz w:val="20"/>
          <w:szCs w:val="20"/>
        </w:rPr>
        <w:t>Zeiträume/Fristen benannt, die als Orientierung</w:t>
      </w:r>
      <w:r w:rsidR="005800D5">
        <w:rPr>
          <w:sz w:val="20"/>
          <w:szCs w:val="20"/>
        </w:rPr>
        <w:t xml:space="preserve"> </w:t>
      </w:r>
      <w:r>
        <w:rPr>
          <w:sz w:val="20"/>
          <w:szCs w:val="20"/>
        </w:rPr>
        <w:t>dienen sollen</w:t>
      </w:r>
      <w:r w:rsidRPr="00BE045C">
        <w:rPr>
          <w:sz w:val="20"/>
          <w:szCs w:val="20"/>
        </w:rPr>
        <w:t xml:space="preserve">. Es bleibt </w:t>
      </w:r>
      <w:r>
        <w:rPr>
          <w:sz w:val="20"/>
          <w:szCs w:val="20"/>
        </w:rPr>
        <w:t>aber</w:t>
      </w:r>
      <w:r w:rsidR="005800D5">
        <w:rPr>
          <w:sz w:val="20"/>
          <w:szCs w:val="20"/>
        </w:rPr>
        <w:t xml:space="preserve"> </w:t>
      </w:r>
      <w:r>
        <w:rPr>
          <w:sz w:val="20"/>
          <w:szCs w:val="20"/>
        </w:rPr>
        <w:t>natürlich</w:t>
      </w:r>
      <w:r w:rsidRPr="00BE045C">
        <w:rPr>
          <w:sz w:val="20"/>
          <w:szCs w:val="20"/>
        </w:rPr>
        <w:t xml:space="preserve"> den Vertragsparteien überlassen, jeweils </w:t>
      </w:r>
      <w:r>
        <w:rPr>
          <w:sz w:val="20"/>
          <w:szCs w:val="20"/>
        </w:rPr>
        <w:t xml:space="preserve">individuell </w:t>
      </w:r>
      <w:r w:rsidRPr="00BE045C">
        <w:rPr>
          <w:sz w:val="20"/>
          <w:szCs w:val="20"/>
        </w:rPr>
        <w:t>eine konkrete Frist vertraglich festzulegen.</w:t>
      </w:r>
    </w:p>
    <w:p w14:paraId="556CCFF6" w14:textId="66C64598" w:rsidR="00A91CEA" w:rsidRDefault="00A91CEA" w:rsidP="00C70646">
      <w:pPr>
        <w:numPr>
          <w:ilvl w:val="0"/>
          <w:numId w:val="16"/>
        </w:numPr>
        <w:spacing w:after="260" w:line="260" w:lineRule="exact"/>
        <w:jc w:val="both"/>
        <w:rPr>
          <w:sz w:val="20"/>
          <w:szCs w:val="20"/>
        </w:rPr>
      </w:pPr>
      <w:r w:rsidRPr="00BE045C">
        <w:rPr>
          <w:sz w:val="20"/>
          <w:szCs w:val="20"/>
        </w:rPr>
        <w:t xml:space="preserve">Die Durchführung klinischer Prüfungen </w:t>
      </w:r>
      <w:r>
        <w:rPr>
          <w:sz w:val="20"/>
          <w:szCs w:val="20"/>
        </w:rPr>
        <w:t xml:space="preserve">kann auf Seiten des Auftraggebers und/oder des </w:t>
      </w:r>
      <w:r w:rsidR="00E84B1D">
        <w:rPr>
          <w:sz w:val="20"/>
          <w:szCs w:val="20"/>
        </w:rPr>
        <w:t xml:space="preserve">Prüfzentrums </w:t>
      </w:r>
      <w:r w:rsidRPr="00BE045C">
        <w:rPr>
          <w:sz w:val="20"/>
          <w:szCs w:val="20"/>
        </w:rPr>
        <w:t xml:space="preserve">durch die Einbindung von </w:t>
      </w:r>
      <w:r>
        <w:rPr>
          <w:sz w:val="20"/>
          <w:szCs w:val="20"/>
        </w:rPr>
        <w:t xml:space="preserve">sogenannten </w:t>
      </w:r>
      <w:r w:rsidRPr="00BE045C">
        <w:rPr>
          <w:sz w:val="20"/>
          <w:szCs w:val="20"/>
        </w:rPr>
        <w:t xml:space="preserve">Clinical Research </w:t>
      </w:r>
      <w:proofErr w:type="spellStart"/>
      <w:r w:rsidRPr="00BE045C">
        <w:rPr>
          <w:sz w:val="20"/>
          <w:szCs w:val="20"/>
        </w:rPr>
        <w:t>Organisations</w:t>
      </w:r>
      <w:proofErr w:type="spellEnd"/>
      <w:r w:rsidRPr="00BE045C">
        <w:rPr>
          <w:sz w:val="20"/>
          <w:szCs w:val="20"/>
        </w:rPr>
        <w:t xml:space="preserve"> (CRO) unterstützt</w:t>
      </w:r>
      <w:r>
        <w:rPr>
          <w:sz w:val="20"/>
          <w:szCs w:val="20"/>
        </w:rPr>
        <w:t xml:space="preserve"> werden</w:t>
      </w:r>
      <w:r w:rsidRPr="00BE045C">
        <w:rPr>
          <w:sz w:val="20"/>
          <w:szCs w:val="20"/>
        </w:rPr>
        <w:t xml:space="preserve">. Werden die nachfolgenden Mustervertragsklauseln </w:t>
      </w:r>
      <w:r>
        <w:rPr>
          <w:sz w:val="20"/>
          <w:szCs w:val="20"/>
        </w:rPr>
        <w:t>in</w:t>
      </w:r>
      <w:r w:rsidR="005800D5">
        <w:rPr>
          <w:sz w:val="20"/>
          <w:szCs w:val="20"/>
        </w:rPr>
        <w:t xml:space="preserve"> </w:t>
      </w:r>
      <w:r>
        <w:rPr>
          <w:sz w:val="20"/>
          <w:szCs w:val="20"/>
        </w:rPr>
        <w:t>Prüfverträgen mit Beteiligung von CRO(s)</w:t>
      </w:r>
      <w:r w:rsidRPr="00BE045C">
        <w:rPr>
          <w:sz w:val="20"/>
          <w:szCs w:val="20"/>
        </w:rPr>
        <w:t xml:space="preserve"> verwendet, empfiehlt es sich</w:t>
      </w:r>
      <w:r w:rsidR="005800D5">
        <w:rPr>
          <w:sz w:val="20"/>
          <w:szCs w:val="20"/>
        </w:rPr>
        <w:t>,</w:t>
      </w:r>
      <w:r w:rsidRPr="00BE045C">
        <w:rPr>
          <w:sz w:val="20"/>
          <w:szCs w:val="20"/>
        </w:rPr>
        <w:t xml:space="preserve"> eine eindeutige </w:t>
      </w:r>
      <w:r>
        <w:rPr>
          <w:sz w:val="20"/>
          <w:szCs w:val="20"/>
        </w:rPr>
        <w:t xml:space="preserve">Abgrenzung der jeweiligen Verantwortungsbereiche und Leistungen zwischen den Beteiligten im Prüfvertrag </w:t>
      </w:r>
      <w:r w:rsidRPr="00BE045C">
        <w:rPr>
          <w:sz w:val="20"/>
          <w:szCs w:val="20"/>
        </w:rPr>
        <w:t>vorzunehmen</w:t>
      </w:r>
      <w:r>
        <w:rPr>
          <w:sz w:val="20"/>
          <w:szCs w:val="20"/>
        </w:rPr>
        <w:t xml:space="preserve"> bzw. für die Fälle</w:t>
      </w:r>
      <w:r w:rsidR="005800D5">
        <w:rPr>
          <w:sz w:val="20"/>
          <w:szCs w:val="20"/>
        </w:rPr>
        <w:t>,</w:t>
      </w:r>
      <w:r>
        <w:rPr>
          <w:sz w:val="20"/>
          <w:szCs w:val="20"/>
        </w:rPr>
        <w:t xml:space="preserve"> in den</w:t>
      </w:r>
      <w:r w:rsidR="005800D5">
        <w:rPr>
          <w:sz w:val="20"/>
          <w:szCs w:val="20"/>
        </w:rPr>
        <w:t>en</w:t>
      </w:r>
      <w:r>
        <w:rPr>
          <w:sz w:val="20"/>
          <w:szCs w:val="20"/>
        </w:rPr>
        <w:t xml:space="preserve"> eine CRO statt des industriellen Sponsors/Auftraggebers Vertragspartner wird, die Verwendung dieser Musterklauseln zu empfehlen. In Fällen, in denen auf Seiten einer Institution/eines Auftragnehmers eine CRO eingeschaltet wird, empfiehlt es sich, einen Drei-Parteien-Vertrag (</w:t>
      </w:r>
      <w:r w:rsidR="00E84B1D">
        <w:rPr>
          <w:sz w:val="20"/>
          <w:szCs w:val="20"/>
        </w:rPr>
        <w:t>Prüfzentrum</w:t>
      </w:r>
      <w:r>
        <w:rPr>
          <w:sz w:val="20"/>
          <w:szCs w:val="20"/>
        </w:rPr>
        <w:t xml:space="preserve">, CRO und Auftraggeber) abzuschließen. </w:t>
      </w:r>
    </w:p>
    <w:p w14:paraId="794DDF9D" w14:textId="75D5A521" w:rsidR="00580CE0" w:rsidRPr="008E1984" w:rsidRDefault="00580CE0" w:rsidP="00C70646">
      <w:pPr>
        <w:numPr>
          <w:ilvl w:val="0"/>
          <w:numId w:val="16"/>
        </w:numPr>
        <w:spacing w:after="260" w:line="260" w:lineRule="exact"/>
        <w:jc w:val="both"/>
        <w:rPr>
          <w:sz w:val="20"/>
          <w:szCs w:val="20"/>
        </w:rPr>
      </w:pPr>
      <w:r>
        <w:rPr>
          <w:sz w:val="20"/>
          <w:szCs w:val="20"/>
        </w:rPr>
        <w:lastRenderedPageBreak/>
        <w:t xml:space="preserve">Die </w:t>
      </w:r>
      <w:r w:rsidR="00C47EE5" w:rsidRPr="00C47EE5">
        <w:rPr>
          <w:sz w:val="20"/>
          <w:szCs w:val="20"/>
        </w:rPr>
        <w:t xml:space="preserve">Mustervertragsklauseln sind nicht zur Anwendung bei Verträgen zur Durchführung von nicht-interventionellen Studien / Anwendungsbeobachtungen </w:t>
      </w:r>
      <w:r w:rsidR="00C47EE5">
        <w:rPr>
          <w:sz w:val="20"/>
          <w:szCs w:val="20"/>
        </w:rPr>
        <w:t>bestimm</w:t>
      </w:r>
      <w:r w:rsidR="00C47EE5" w:rsidRPr="00C47EE5">
        <w:rPr>
          <w:sz w:val="20"/>
          <w:szCs w:val="20"/>
        </w:rPr>
        <w:t>t.</w:t>
      </w:r>
    </w:p>
    <w:p w14:paraId="35BDC2DC" w14:textId="1849B503" w:rsidR="00A91CEA" w:rsidRDefault="00A91CEA" w:rsidP="00C70646">
      <w:pPr>
        <w:numPr>
          <w:ilvl w:val="0"/>
          <w:numId w:val="16"/>
        </w:numPr>
        <w:spacing w:after="260" w:line="260" w:lineRule="exact"/>
        <w:jc w:val="both"/>
        <w:rPr>
          <w:sz w:val="20"/>
          <w:szCs w:val="20"/>
        </w:rPr>
      </w:pPr>
      <w:r w:rsidRPr="00A91CEA">
        <w:rPr>
          <w:sz w:val="20"/>
          <w:szCs w:val="20"/>
        </w:rPr>
        <w:t>Diese Mustervertragsklauseln treffen</w:t>
      </w:r>
      <w:r w:rsidR="00C47EE5">
        <w:rPr>
          <w:sz w:val="20"/>
          <w:szCs w:val="20"/>
        </w:rPr>
        <w:t xml:space="preserve"> </w:t>
      </w:r>
      <w:r w:rsidR="001B5173">
        <w:rPr>
          <w:sz w:val="20"/>
          <w:szCs w:val="20"/>
        </w:rPr>
        <w:t>weiterhin</w:t>
      </w:r>
      <w:r w:rsidRPr="00A91CEA">
        <w:rPr>
          <w:sz w:val="20"/>
          <w:szCs w:val="20"/>
        </w:rPr>
        <w:t xml:space="preserve"> keine Aussagen über finanzielle Aspekte bzw. über vergütungsfähige Leistungen im Rahmen einer klinischen Prüfung – siehe dazu die „</w:t>
      </w:r>
      <w:r w:rsidRPr="00A91CEA">
        <w:rPr>
          <w:i/>
          <w:sz w:val="20"/>
          <w:szCs w:val="20"/>
        </w:rPr>
        <w:t>Gemeinsamen Empfehlungen zur Erstellung einer Gesamtleistungsrechnung der Vergütung bei der Durchführung einer klinischen Prüfung in einem Prüfzentrum</w:t>
      </w:r>
      <w:r w:rsidRPr="00A91CEA">
        <w:rPr>
          <w:sz w:val="20"/>
          <w:szCs w:val="20"/>
        </w:rPr>
        <w:t xml:space="preserve">“ von MFT, VUD, KKS-Netzwerk und </w:t>
      </w:r>
      <w:proofErr w:type="spellStart"/>
      <w:r w:rsidRPr="00A91CEA">
        <w:rPr>
          <w:sz w:val="20"/>
          <w:szCs w:val="20"/>
        </w:rPr>
        <w:t>vfa</w:t>
      </w:r>
      <w:proofErr w:type="spellEnd"/>
      <w:r w:rsidR="003A584E">
        <w:rPr>
          <w:sz w:val="20"/>
          <w:szCs w:val="20"/>
        </w:rPr>
        <w:t xml:space="preserve"> (Link</w:t>
      </w:r>
      <w:r w:rsidR="00C97849">
        <w:rPr>
          <w:sz w:val="20"/>
          <w:szCs w:val="20"/>
        </w:rPr>
        <w:t>s</w:t>
      </w:r>
      <w:r w:rsidR="003A584E">
        <w:rPr>
          <w:sz w:val="20"/>
          <w:szCs w:val="20"/>
        </w:rPr>
        <w:t xml:space="preserve">: </w:t>
      </w:r>
      <w:hyperlink r:id="rId8" w:history="1">
        <w:r w:rsidR="00C97849" w:rsidRPr="00490AD1">
          <w:rPr>
            <w:rStyle w:val="Hyperlink"/>
            <w:sz w:val="20"/>
            <w:szCs w:val="20"/>
          </w:rPr>
          <w:t>https://medizinische-fakultaeten.de/wp-content/uploads/2017/12/171012_-_finale_fassung_der_empfehlungen_zur_gesamtleistungsrechnung.pdf</w:t>
        </w:r>
      </w:hyperlink>
      <w:r w:rsidR="00C97849">
        <w:rPr>
          <w:sz w:val="20"/>
          <w:szCs w:val="20"/>
        </w:rPr>
        <w:t xml:space="preserve"> oder </w:t>
      </w:r>
      <w:hyperlink r:id="rId9" w:history="1">
        <w:r w:rsidR="00C97849" w:rsidRPr="00490AD1">
          <w:rPr>
            <w:rStyle w:val="Hyperlink"/>
            <w:sz w:val="20"/>
            <w:szCs w:val="20"/>
          </w:rPr>
          <w:t>https://www.vfa.de/download/empfehlungen-gesamtleistungsrechnung-dt.pdf</w:t>
        </w:r>
      </w:hyperlink>
      <w:r w:rsidR="00C97849">
        <w:rPr>
          <w:sz w:val="20"/>
          <w:szCs w:val="20"/>
        </w:rPr>
        <w:t xml:space="preserve"> </w:t>
      </w:r>
      <w:r w:rsidRPr="00A91CEA">
        <w:rPr>
          <w:sz w:val="20"/>
          <w:szCs w:val="20"/>
        </w:rPr>
        <w:t xml:space="preserve">. </w:t>
      </w:r>
    </w:p>
    <w:p w14:paraId="678E4CDF" w14:textId="574A2BC9" w:rsidR="00F90FCB" w:rsidRDefault="00B97FBB" w:rsidP="00C70646">
      <w:pPr>
        <w:jc w:val="both"/>
        <w:rPr>
          <w:sz w:val="20"/>
          <w:szCs w:val="20"/>
        </w:rPr>
      </w:pPr>
      <w:r>
        <w:rPr>
          <w:noProof/>
        </w:rPr>
        <mc:AlternateContent>
          <mc:Choice Requires="wps">
            <w:drawing>
              <wp:anchor distT="45720" distB="45720" distL="114300" distR="114300" simplePos="0" relativeHeight="251659264" behindDoc="0" locked="0" layoutInCell="1" allowOverlap="1" wp14:anchorId="0ED1D740" wp14:editId="0E2ED3DB">
                <wp:simplePos x="0" y="0"/>
                <wp:positionH relativeFrom="margin">
                  <wp:posOffset>160020</wp:posOffset>
                </wp:positionH>
                <wp:positionV relativeFrom="paragraph">
                  <wp:posOffset>196850</wp:posOffset>
                </wp:positionV>
                <wp:extent cx="5638800" cy="1541145"/>
                <wp:effectExtent l="0" t="0" r="19050" b="26670"/>
                <wp:wrapSquare wrapText="bothSides"/>
                <wp:docPr id="61062930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541145"/>
                        </a:xfrm>
                        <a:prstGeom prst="rect">
                          <a:avLst/>
                        </a:prstGeom>
                        <a:solidFill>
                          <a:srgbClr val="EEECE1"/>
                        </a:solidFill>
                        <a:ln w="9525">
                          <a:solidFill>
                            <a:srgbClr val="000000"/>
                          </a:solidFill>
                          <a:miter lim="800000"/>
                          <a:headEnd/>
                          <a:tailEnd/>
                        </a:ln>
                      </wps:spPr>
                      <wps:txbx>
                        <w:txbxContent>
                          <w:p w14:paraId="3193B6F3" w14:textId="2512055B" w:rsidR="00EF06B5" w:rsidRPr="008173D9" w:rsidRDefault="00EF06B5" w:rsidP="00EF06B5">
                            <w:pPr>
                              <w:spacing w:after="260" w:line="260" w:lineRule="exact"/>
                              <w:jc w:val="both"/>
                              <w:rPr>
                                <w:i/>
                                <w:sz w:val="20"/>
                                <w:szCs w:val="20"/>
                              </w:rPr>
                            </w:pPr>
                            <w:r w:rsidRPr="00EF06B5">
                              <w:rPr>
                                <w:b/>
                                <w:bCs/>
                                <w:sz w:val="20"/>
                                <w:szCs w:val="20"/>
                                <w:u w:val="single"/>
                              </w:rPr>
                              <w:t>Disclaimer</w:t>
                            </w:r>
                            <w:r>
                              <w:rPr>
                                <w:sz w:val="20"/>
                                <w:szCs w:val="20"/>
                              </w:rPr>
                              <w:t xml:space="preserve">: </w:t>
                            </w:r>
                            <w:r w:rsidRPr="00B27A94">
                              <w:rPr>
                                <w:sz w:val="20"/>
                                <w:szCs w:val="20"/>
                              </w:rPr>
                              <w:t>Die nachstehenden Mustervertragsklauseln sind von den Vertretern der beteiligten Organisationen nach bestem Wissen und auf Grundlage der gemeinsamen fachlichen Diskussion sowie der jeweils gesammelten Praxis-Erfahrungen abgefasst worden. Die Rechtmäßigkeit und Vereinbarkeit dieser Klauseln mit deutschem oder europäische</w:t>
                            </w:r>
                            <w:r>
                              <w:rPr>
                                <w:sz w:val="20"/>
                                <w:szCs w:val="20"/>
                              </w:rPr>
                              <w:t>m</w:t>
                            </w:r>
                            <w:r w:rsidRPr="00B27A94">
                              <w:rPr>
                                <w:sz w:val="20"/>
                                <w:szCs w:val="20"/>
                              </w:rPr>
                              <w:t xml:space="preserve"> Recht kann von etwaig angerufenen Gerichten unterschiedlich bewertet werden. Des</w:t>
                            </w:r>
                            <w:r>
                              <w:rPr>
                                <w:sz w:val="20"/>
                                <w:szCs w:val="20"/>
                              </w:rPr>
                              <w:t xml:space="preserve"> </w:t>
                            </w:r>
                            <w:r w:rsidRPr="00B27A94">
                              <w:rPr>
                                <w:sz w:val="20"/>
                                <w:szCs w:val="20"/>
                              </w:rPr>
                              <w:t>Weiteren sind die Anwender der Mustervertragsklauseln nicht befreit, in jedem Einzelfall den konkreten Sachverhalt und den jeweiligen Parteiwillen zu erfassen, um auf dieser Grundlage über die Verwendung der einzelnen Mustervertragsklauseln zu entscheiden.</w:t>
                            </w:r>
                            <w:r>
                              <w:rPr>
                                <w:sz w:val="20"/>
                                <w:szCs w:val="20"/>
                              </w:rPr>
                              <w:t xml:space="preserve"> Jedwede Haftung der Verfasser ist ausgeschlossen.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D1D740" id="_x0000_t202" coordsize="21600,21600" o:spt="202" path="m,l,21600r21600,l21600,xe">
                <v:stroke joinstyle="miter"/>
                <v:path gradientshapeok="t" o:connecttype="rect"/>
              </v:shapetype>
              <v:shape id="Textfeld 1" o:spid="_x0000_s1026" type="#_x0000_t202" style="position:absolute;left:0;text-align:left;margin-left:12.6pt;margin-top:15.5pt;width:444pt;height:121.3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" fillcolor="#eeece1">
                <v:textbox style="mso-fit-shape-to-text:t">
                  <w:txbxContent>
                    <w:p w14:paraId="3193B6F3" w14:textId="2512055B" w:rsidR="00EF06B5" w:rsidRPr="008173D9" w:rsidRDefault="00EF06B5" w:rsidP="00EF06B5">
                      <w:pPr>
                        <w:spacing w:after="260" w:line="260" w:lineRule="exact"/>
                        <w:jc w:val="both"/>
                        <w:rPr>
                          <w:i/>
                          <w:sz w:val="20"/>
                          <w:szCs w:val="20"/>
                        </w:rPr>
                      </w:pPr>
                      <w:r w:rsidRPr="00EF06B5">
                        <w:rPr>
                          <w:b/>
                          <w:bCs/>
                          <w:sz w:val="20"/>
                          <w:szCs w:val="20"/>
                          <w:u w:val="single"/>
                        </w:rPr>
                        <w:t>Disclaimer</w:t>
                      </w:r>
                      <w:r>
                        <w:rPr>
                          <w:sz w:val="20"/>
                          <w:szCs w:val="20"/>
                        </w:rPr>
                        <w:t xml:space="preserve">: </w:t>
                      </w:r>
                      <w:r w:rsidRPr="00B27A94">
                        <w:rPr>
                          <w:sz w:val="20"/>
                          <w:szCs w:val="20"/>
                        </w:rPr>
                        <w:t>Die nachstehenden Mustervertragsklauseln sind von den Vertretern der beteiligten Organisationen nach bestem Wissen und auf Grundlage der gemeinsamen fachlichen Diskussion sowie der jeweils gesammelten Praxis-Erfahrungen abgefasst worden. Die Rechtmäßigkeit und Vereinbarkeit dieser Klauseln mit deutschem oder europäische</w:t>
                      </w:r>
                      <w:r>
                        <w:rPr>
                          <w:sz w:val="20"/>
                          <w:szCs w:val="20"/>
                        </w:rPr>
                        <w:t>m</w:t>
                      </w:r>
                      <w:r w:rsidRPr="00B27A94">
                        <w:rPr>
                          <w:sz w:val="20"/>
                          <w:szCs w:val="20"/>
                        </w:rPr>
                        <w:t xml:space="preserve"> Recht kann von etwaig angerufenen Gerichten unterschiedlich bewertet werden. Des</w:t>
                      </w:r>
                      <w:r>
                        <w:rPr>
                          <w:sz w:val="20"/>
                          <w:szCs w:val="20"/>
                        </w:rPr>
                        <w:t xml:space="preserve"> </w:t>
                      </w:r>
                      <w:r w:rsidRPr="00B27A94">
                        <w:rPr>
                          <w:sz w:val="20"/>
                          <w:szCs w:val="20"/>
                        </w:rPr>
                        <w:t>Weiteren sind die Anwender der Mustervertragsklauseln nicht befreit, in jedem Einzelfall den konkreten Sachverhalt und den jeweiligen Parteiwillen zu erfassen, um auf dieser Grundlage über die Verwendung der einzelnen Mustervertragsklauseln zu entscheiden.</w:t>
                      </w:r>
                      <w:r>
                        <w:rPr>
                          <w:sz w:val="20"/>
                          <w:szCs w:val="20"/>
                        </w:rPr>
                        <w:t xml:space="preserve"> Jedwede Haftung der Verfasser ist ausgeschlossen.</w:t>
                      </w:r>
                    </w:p>
                  </w:txbxContent>
                </v:textbox>
                <w10:wrap type="square" anchorx="margin"/>
              </v:shape>
            </w:pict>
          </mc:Fallback>
        </mc:AlternateContent>
      </w:r>
    </w:p>
    <w:p w14:paraId="5E15B65E" w14:textId="726C2E83" w:rsidR="00B050E9" w:rsidRDefault="00B050E9">
      <w:pPr>
        <w:spacing w:after="160" w:line="259" w:lineRule="auto"/>
        <w:rPr>
          <w:b/>
          <w:sz w:val="20"/>
          <w:szCs w:val="20"/>
        </w:rPr>
      </w:pPr>
      <w:r>
        <w:rPr>
          <w:b/>
          <w:sz w:val="20"/>
          <w:szCs w:val="20"/>
        </w:rPr>
        <w:br w:type="page"/>
      </w:r>
    </w:p>
    <w:p w14:paraId="5927E293" w14:textId="3824C067" w:rsidR="00A91CEA" w:rsidRDefault="00A91CEA" w:rsidP="00C70646">
      <w:pPr>
        <w:jc w:val="both"/>
        <w:rPr>
          <w:sz w:val="20"/>
          <w:szCs w:val="20"/>
        </w:rPr>
      </w:pPr>
      <w:r>
        <w:rPr>
          <w:b/>
          <w:sz w:val="20"/>
          <w:szCs w:val="20"/>
        </w:rPr>
        <w:lastRenderedPageBreak/>
        <w:t xml:space="preserve">Mustervertragsklauseln für </w:t>
      </w:r>
      <w:r w:rsidR="005800D5">
        <w:rPr>
          <w:b/>
          <w:sz w:val="20"/>
          <w:szCs w:val="20"/>
        </w:rPr>
        <w:t xml:space="preserve">klinische </w:t>
      </w:r>
      <w:r>
        <w:rPr>
          <w:b/>
          <w:sz w:val="20"/>
          <w:szCs w:val="20"/>
        </w:rPr>
        <w:t xml:space="preserve">Prüfungen mit Arzneimitteln unter Verantwortung eines pharmazeutischen Unternehmens (industrieller </w:t>
      </w:r>
      <w:r w:rsidR="00FE7E99">
        <w:rPr>
          <w:b/>
          <w:sz w:val="20"/>
          <w:szCs w:val="20"/>
        </w:rPr>
        <w:t>Auftraggeber</w:t>
      </w:r>
      <w:r>
        <w:rPr>
          <w:b/>
          <w:sz w:val="20"/>
          <w:szCs w:val="20"/>
        </w:rPr>
        <w:t>)</w:t>
      </w:r>
    </w:p>
    <w:p w14:paraId="6A2BF9E4" w14:textId="77777777" w:rsidR="00A91CEA" w:rsidRDefault="00A91CEA" w:rsidP="00C70646">
      <w:pPr>
        <w:jc w:val="both"/>
        <w:rPr>
          <w:sz w:val="20"/>
          <w:szCs w:val="20"/>
        </w:rPr>
      </w:pPr>
    </w:p>
    <w:p w14:paraId="341E8D86" w14:textId="77777777" w:rsidR="00A91CEA" w:rsidRDefault="00A91CEA" w:rsidP="00C70646">
      <w:pPr>
        <w:jc w:val="both"/>
        <w:rPr>
          <w:sz w:val="20"/>
          <w:szCs w:val="20"/>
        </w:rPr>
      </w:pPr>
    </w:p>
    <w:p w14:paraId="13282486" w14:textId="77777777" w:rsidR="00A06901" w:rsidRPr="00D637A3" w:rsidRDefault="00907AB2" w:rsidP="00C70646">
      <w:pPr>
        <w:jc w:val="both"/>
        <w:rPr>
          <w:b/>
          <w:sz w:val="20"/>
          <w:szCs w:val="20"/>
        </w:rPr>
      </w:pPr>
      <w:r w:rsidRPr="00D637A3">
        <w:rPr>
          <w:b/>
          <w:sz w:val="20"/>
          <w:szCs w:val="20"/>
        </w:rPr>
        <w:t>1</w:t>
      </w:r>
      <w:r w:rsidR="00A06901" w:rsidRPr="00D637A3">
        <w:rPr>
          <w:b/>
          <w:sz w:val="20"/>
          <w:szCs w:val="20"/>
        </w:rPr>
        <w:t>.</w:t>
      </w:r>
      <w:r w:rsidR="00A06901" w:rsidRPr="00D637A3">
        <w:rPr>
          <w:b/>
          <w:sz w:val="20"/>
          <w:szCs w:val="20"/>
        </w:rPr>
        <w:tab/>
        <w:t>Veröffentlichungen.</w:t>
      </w:r>
    </w:p>
    <w:p w14:paraId="060DF02A" w14:textId="77777777" w:rsidR="00A06901" w:rsidRPr="00630C15" w:rsidRDefault="00A06901" w:rsidP="00C70646">
      <w:pPr>
        <w:jc w:val="both"/>
        <w:rPr>
          <w:sz w:val="20"/>
          <w:szCs w:val="20"/>
        </w:rPr>
      </w:pPr>
    </w:p>
    <w:p w14:paraId="7CB06F48" w14:textId="57E5F2A6" w:rsidR="003C69F6" w:rsidRDefault="003C69F6" w:rsidP="00C70646">
      <w:pPr>
        <w:jc w:val="both"/>
        <w:rPr>
          <w:sz w:val="20"/>
          <w:szCs w:val="20"/>
        </w:rPr>
      </w:pPr>
      <w:r w:rsidRPr="00630C15">
        <w:rPr>
          <w:sz w:val="20"/>
          <w:szCs w:val="20"/>
        </w:rPr>
        <w:t xml:space="preserve">Der Auftraggeber ist berechtigt, jederzeit die </w:t>
      </w:r>
      <w:r>
        <w:rPr>
          <w:sz w:val="20"/>
          <w:szCs w:val="20"/>
        </w:rPr>
        <w:t>Ergebnisse</w:t>
      </w:r>
      <w:r w:rsidRPr="00630C15">
        <w:rPr>
          <w:sz w:val="20"/>
          <w:szCs w:val="20"/>
        </w:rPr>
        <w:t xml:space="preserve"> der klinischen Prüfung zu veröffentlichen. Dabei ist auch zu beachten, dass der Auftraggeber gesetzliche Transparenzpflichten oder Vorgaben aus Selbstverpflichtungen insbesondere hinsichtlich der Daten zum Prüfer</w:t>
      </w:r>
      <w:r w:rsidR="000312A4">
        <w:rPr>
          <w:sz w:val="20"/>
          <w:szCs w:val="20"/>
        </w:rPr>
        <w:t xml:space="preserve"> </w:t>
      </w:r>
      <w:r>
        <w:rPr>
          <w:sz w:val="20"/>
          <w:szCs w:val="20"/>
        </w:rPr>
        <w:t xml:space="preserve">und dessen </w:t>
      </w:r>
      <w:r w:rsidRPr="00630C15">
        <w:rPr>
          <w:sz w:val="20"/>
          <w:szCs w:val="20"/>
        </w:rPr>
        <w:t xml:space="preserve">Stellvertreter bzw. </w:t>
      </w:r>
      <w:r w:rsidR="009B0B59">
        <w:rPr>
          <w:sz w:val="20"/>
          <w:szCs w:val="20"/>
        </w:rPr>
        <w:t>zum</w:t>
      </w:r>
      <w:r w:rsidRPr="00630C15">
        <w:rPr>
          <w:sz w:val="20"/>
          <w:szCs w:val="20"/>
        </w:rPr>
        <w:t xml:space="preserve"> Prüf</w:t>
      </w:r>
      <w:r>
        <w:rPr>
          <w:sz w:val="20"/>
          <w:szCs w:val="20"/>
        </w:rPr>
        <w:t>zentrum</w:t>
      </w:r>
      <w:r w:rsidRPr="00630C15">
        <w:rPr>
          <w:sz w:val="20"/>
          <w:szCs w:val="20"/>
        </w:rPr>
        <w:t xml:space="preserve"> zu beachten hat.</w:t>
      </w:r>
    </w:p>
    <w:p w14:paraId="75B372E4" w14:textId="77777777" w:rsidR="003C69F6" w:rsidRDefault="003C69F6" w:rsidP="00C70646">
      <w:pPr>
        <w:jc w:val="both"/>
        <w:rPr>
          <w:sz w:val="20"/>
          <w:szCs w:val="20"/>
        </w:rPr>
      </w:pPr>
    </w:p>
    <w:p w14:paraId="5FC339AC" w14:textId="3C309969" w:rsidR="004D060C" w:rsidRDefault="00A06901" w:rsidP="00C70646">
      <w:pPr>
        <w:jc w:val="both"/>
        <w:rPr>
          <w:sz w:val="20"/>
          <w:szCs w:val="20"/>
        </w:rPr>
      </w:pPr>
      <w:r w:rsidRPr="00630C15">
        <w:rPr>
          <w:sz w:val="20"/>
          <w:szCs w:val="20"/>
        </w:rPr>
        <w:t xml:space="preserve">Der Auftraggeber bestätigt und akzeptiert das grundsätzliche </w:t>
      </w:r>
      <w:r w:rsidR="009A2D52">
        <w:rPr>
          <w:sz w:val="20"/>
          <w:szCs w:val="20"/>
        </w:rPr>
        <w:t>R</w:t>
      </w:r>
      <w:r w:rsidR="009A2D52" w:rsidRPr="00630C15">
        <w:rPr>
          <w:sz w:val="20"/>
          <w:szCs w:val="20"/>
        </w:rPr>
        <w:t xml:space="preserve">echt </w:t>
      </w:r>
      <w:r w:rsidRPr="00630C15">
        <w:rPr>
          <w:sz w:val="20"/>
          <w:szCs w:val="20"/>
        </w:rPr>
        <w:t xml:space="preserve">des </w:t>
      </w:r>
      <w:r w:rsidR="00E84B1D">
        <w:rPr>
          <w:sz w:val="20"/>
          <w:szCs w:val="20"/>
        </w:rPr>
        <w:t>Prüfzentrums</w:t>
      </w:r>
      <w:r w:rsidRPr="00630C15">
        <w:rPr>
          <w:sz w:val="20"/>
          <w:szCs w:val="20"/>
        </w:rPr>
        <w:t xml:space="preserve">, </w:t>
      </w:r>
      <w:r w:rsidR="007B36B6">
        <w:rPr>
          <w:sz w:val="20"/>
          <w:szCs w:val="20"/>
        </w:rPr>
        <w:t xml:space="preserve">die am Prüfzentrum generierten </w:t>
      </w:r>
      <w:r w:rsidRPr="00630C15">
        <w:rPr>
          <w:sz w:val="20"/>
          <w:szCs w:val="20"/>
        </w:rPr>
        <w:t xml:space="preserve">Ergebnisse der klinischen Prüfung – unabhängig ob günstig oder ungünstig – für nicht-kommerzielle wissenschaftliche Zwecke zu veröffentlichen. </w:t>
      </w:r>
      <w:r w:rsidR="004D060C" w:rsidRPr="00630C15">
        <w:rPr>
          <w:sz w:val="20"/>
          <w:szCs w:val="20"/>
        </w:rPr>
        <w:t>Veröffentlichungen sind mündliche oder schriftlichen Veröffentlichungen, die sich auf die klinische Prüfung</w:t>
      </w:r>
      <w:r w:rsidR="00446621">
        <w:rPr>
          <w:sz w:val="20"/>
          <w:szCs w:val="20"/>
        </w:rPr>
        <w:t>, deren Ergebnisse oder</w:t>
      </w:r>
      <w:r w:rsidR="004D060C" w:rsidRPr="00630C15">
        <w:rPr>
          <w:sz w:val="20"/>
          <w:szCs w:val="20"/>
        </w:rPr>
        <w:t xml:space="preserve"> die </w:t>
      </w:r>
      <w:r w:rsidR="00446621" w:rsidRPr="00446621">
        <w:rPr>
          <w:sz w:val="20"/>
          <w:szCs w:val="20"/>
        </w:rPr>
        <w:t>Prüfpräparate</w:t>
      </w:r>
      <w:r w:rsidR="00907AB2">
        <w:rPr>
          <w:sz w:val="20"/>
          <w:szCs w:val="20"/>
        </w:rPr>
        <w:t xml:space="preserve"> beziehen</w:t>
      </w:r>
      <w:r w:rsidR="003C69F6">
        <w:rPr>
          <w:sz w:val="20"/>
          <w:szCs w:val="20"/>
        </w:rPr>
        <w:t xml:space="preserve"> </w:t>
      </w:r>
      <w:r w:rsidR="003C69F6" w:rsidRPr="00630C15">
        <w:rPr>
          <w:sz w:val="20"/>
          <w:szCs w:val="20"/>
        </w:rPr>
        <w:t>(nachfolgend „Veröffentlichung“ genannt)</w:t>
      </w:r>
      <w:r w:rsidR="00907AB2">
        <w:rPr>
          <w:sz w:val="20"/>
          <w:szCs w:val="20"/>
        </w:rPr>
        <w:t>.</w:t>
      </w:r>
    </w:p>
    <w:p w14:paraId="5F886116" w14:textId="77777777" w:rsidR="00907AB2" w:rsidRPr="00630C15" w:rsidRDefault="00907AB2" w:rsidP="00C70646">
      <w:pPr>
        <w:jc w:val="both"/>
        <w:rPr>
          <w:sz w:val="20"/>
          <w:szCs w:val="20"/>
        </w:rPr>
      </w:pPr>
    </w:p>
    <w:p w14:paraId="0E016E86" w14:textId="3E198486" w:rsidR="004D060C" w:rsidRPr="00630C15" w:rsidRDefault="00A06901" w:rsidP="00C70646">
      <w:pPr>
        <w:jc w:val="both"/>
        <w:rPr>
          <w:sz w:val="20"/>
          <w:szCs w:val="20"/>
        </w:rPr>
      </w:pPr>
      <w:r w:rsidRPr="00630C15">
        <w:rPr>
          <w:sz w:val="20"/>
          <w:szCs w:val="20"/>
        </w:rPr>
        <w:t>Um die berechtigten Interessen des Auftraggebers zu schützen, verpflichte</w:t>
      </w:r>
      <w:r w:rsidR="007E3740">
        <w:rPr>
          <w:sz w:val="20"/>
          <w:szCs w:val="20"/>
        </w:rPr>
        <w:t>t</w:t>
      </w:r>
      <w:r w:rsidRPr="00630C15">
        <w:rPr>
          <w:sz w:val="20"/>
          <w:szCs w:val="20"/>
        </w:rPr>
        <w:t xml:space="preserve"> sich </w:t>
      </w:r>
      <w:r w:rsidR="00E84B1D">
        <w:rPr>
          <w:sz w:val="20"/>
          <w:szCs w:val="20"/>
        </w:rPr>
        <w:t>das Prüfzentrum</w:t>
      </w:r>
      <w:r w:rsidRPr="00630C15">
        <w:rPr>
          <w:sz w:val="20"/>
          <w:szCs w:val="20"/>
        </w:rPr>
        <w:t xml:space="preserve"> zur Einhaltung des folgenden Verfahrens hinsichtlich Veröffentlichungen.</w:t>
      </w:r>
    </w:p>
    <w:p w14:paraId="67F9C2E0" w14:textId="77777777" w:rsidR="00A06901" w:rsidRPr="00630C15" w:rsidRDefault="00A06901" w:rsidP="00C70646">
      <w:pPr>
        <w:jc w:val="both"/>
        <w:rPr>
          <w:sz w:val="20"/>
          <w:szCs w:val="20"/>
        </w:rPr>
      </w:pPr>
    </w:p>
    <w:p w14:paraId="73B5EE0D" w14:textId="73FDDFD2" w:rsidR="00FE4629" w:rsidRPr="00D637A3" w:rsidRDefault="00907AB2" w:rsidP="00C70646">
      <w:pPr>
        <w:jc w:val="both"/>
        <w:rPr>
          <w:sz w:val="20"/>
          <w:szCs w:val="20"/>
          <w:u w:val="single"/>
        </w:rPr>
      </w:pPr>
      <w:r w:rsidRPr="00D637A3">
        <w:rPr>
          <w:sz w:val="20"/>
          <w:szCs w:val="20"/>
          <w:u w:val="single"/>
        </w:rPr>
        <w:t>1</w:t>
      </w:r>
      <w:r w:rsidR="00FE4629" w:rsidRPr="00D637A3">
        <w:rPr>
          <w:sz w:val="20"/>
          <w:szCs w:val="20"/>
          <w:u w:val="single"/>
        </w:rPr>
        <w:t>.1</w:t>
      </w:r>
      <w:r w:rsidR="00FE4629" w:rsidRPr="00D637A3">
        <w:rPr>
          <w:sz w:val="20"/>
          <w:szCs w:val="20"/>
          <w:u w:val="single"/>
        </w:rPr>
        <w:tab/>
      </w:r>
      <w:r w:rsidR="003C69F6" w:rsidRPr="00D637A3">
        <w:rPr>
          <w:sz w:val="20"/>
          <w:szCs w:val="20"/>
          <w:u w:val="single"/>
        </w:rPr>
        <w:t>Erstveröffentlichung</w:t>
      </w:r>
      <w:r w:rsidR="00FE4629" w:rsidRPr="00D637A3">
        <w:rPr>
          <w:sz w:val="20"/>
          <w:szCs w:val="20"/>
          <w:u w:val="single"/>
        </w:rPr>
        <w:t xml:space="preserve">. </w:t>
      </w:r>
    </w:p>
    <w:p w14:paraId="257A7165" w14:textId="77777777" w:rsidR="00FE4629" w:rsidRPr="00630C15" w:rsidRDefault="00FE4629" w:rsidP="00C70646">
      <w:pPr>
        <w:jc w:val="both"/>
        <w:rPr>
          <w:sz w:val="20"/>
          <w:szCs w:val="20"/>
        </w:rPr>
      </w:pPr>
    </w:p>
    <w:p w14:paraId="3F90D724" w14:textId="1C3B40C4" w:rsidR="00117F37" w:rsidRPr="00630C15" w:rsidRDefault="00FE4629" w:rsidP="00C70646">
      <w:pPr>
        <w:jc w:val="both"/>
        <w:rPr>
          <w:sz w:val="20"/>
          <w:szCs w:val="20"/>
        </w:rPr>
      </w:pPr>
      <w:r w:rsidRPr="00630C15">
        <w:rPr>
          <w:sz w:val="20"/>
          <w:szCs w:val="20"/>
        </w:rPr>
        <w:t xml:space="preserve">Der Auftraggeber hat das </w:t>
      </w:r>
      <w:r w:rsidR="003C69F6">
        <w:rPr>
          <w:sz w:val="20"/>
          <w:szCs w:val="20"/>
        </w:rPr>
        <w:t>R</w:t>
      </w:r>
      <w:r w:rsidR="003C69F6" w:rsidRPr="00630C15">
        <w:rPr>
          <w:sz w:val="20"/>
          <w:szCs w:val="20"/>
        </w:rPr>
        <w:t>echt</w:t>
      </w:r>
      <w:r w:rsidR="003C69F6">
        <w:rPr>
          <w:sz w:val="20"/>
          <w:szCs w:val="20"/>
        </w:rPr>
        <w:t xml:space="preserve"> zur </w:t>
      </w:r>
      <w:r w:rsidR="003C69F6" w:rsidRPr="00630C15">
        <w:rPr>
          <w:sz w:val="20"/>
          <w:szCs w:val="20"/>
        </w:rPr>
        <w:t>Erst</w:t>
      </w:r>
      <w:r w:rsidR="003C69F6">
        <w:rPr>
          <w:sz w:val="20"/>
          <w:szCs w:val="20"/>
        </w:rPr>
        <w:t>v</w:t>
      </w:r>
      <w:r w:rsidR="003C69F6" w:rsidRPr="00630C15">
        <w:rPr>
          <w:sz w:val="20"/>
          <w:szCs w:val="20"/>
        </w:rPr>
        <w:t>eröffentlichung</w:t>
      </w:r>
      <w:r w:rsidR="003C69F6">
        <w:rPr>
          <w:sz w:val="20"/>
          <w:szCs w:val="20"/>
        </w:rPr>
        <w:t xml:space="preserve"> </w:t>
      </w:r>
      <w:r w:rsidRPr="00630C15">
        <w:rPr>
          <w:sz w:val="20"/>
          <w:szCs w:val="20"/>
        </w:rPr>
        <w:t xml:space="preserve">unabhängig von der Art der </w:t>
      </w:r>
      <w:r w:rsidR="00446621" w:rsidRPr="00630C15">
        <w:rPr>
          <w:sz w:val="20"/>
          <w:szCs w:val="20"/>
        </w:rPr>
        <w:t>Veröffentlichung</w:t>
      </w:r>
      <w:r w:rsidRPr="00630C15">
        <w:rPr>
          <w:sz w:val="20"/>
          <w:szCs w:val="20"/>
        </w:rPr>
        <w:t xml:space="preserve">. </w:t>
      </w:r>
    </w:p>
    <w:p w14:paraId="329A63E2" w14:textId="77777777" w:rsidR="00117F37" w:rsidRPr="00630C15" w:rsidRDefault="00117F37" w:rsidP="00C70646">
      <w:pPr>
        <w:jc w:val="both"/>
        <w:rPr>
          <w:sz w:val="20"/>
          <w:szCs w:val="20"/>
        </w:rPr>
      </w:pPr>
    </w:p>
    <w:p w14:paraId="67F6ACD7" w14:textId="1E891C0C" w:rsidR="00FE4629" w:rsidRPr="00630C15" w:rsidRDefault="00117F37" w:rsidP="00C70646">
      <w:pPr>
        <w:jc w:val="both"/>
        <w:rPr>
          <w:sz w:val="20"/>
          <w:szCs w:val="20"/>
        </w:rPr>
      </w:pPr>
      <w:r w:rsidRPr="00630C15">
        <w:rPr>
          <w:sz w:val="20"/>
          <w:szCs w:val="20"/>
        </w:rPr>
        <w:t xml:space="preserve">Ist die klinische Prüfung Teil einer multizentrischen klinischen Prüfung, erklärt sich </w:t>
      </w:r>
      <w:r w:rsidR="00E84B1D">
        <w:rPr>
          <w:sz w:val="20"/>
          <w:szCs w:val="20"/>
        </w:rPr>
        <w:t>das Prüfzentrum</w:t>
      </w:r>
      <w:r w:rsidRPr="00630C15">
        <w:rPr>
          <w:sz w:val="20"/>
          <w:szCs w:val="20"/>
        </w:rPr>
        <w:t xml:space="preserve"> damit einverstanden, dass die erste Veröffentlichung eine Veröffentlichung </w:t>
      </w:r>
      <w:r w:rsidR="006F4D9B" w:rsidRPr="00630C15">
        <w:rPr>
          <w:sz w:val="20"/>
          <w:szCs w:val="20"/>
        </w:rPr>
        <w:t xml:space="preserve">der Gesamtergebnisse </w:t>
      </w:r>
      <w:r w:rsidRPr="00630C15">
        <w:rPr>
          <w:sz w:val="20"/>
          <w:szCs w:val="20"/>
        </w:rPr>
        <w:t>alle</w:t>
      </w:r>
      <w:r w:rsidR="006F4D9B">
        <w:rPr>
          <w:sz w:val="20"/>
          <w:szCs w:val="20"/>
        </w:rPr>
        <w:t>r</w:t>
      </w:r>
      <w:r w:rsidRPr="00630C15">
        <w:rPr>
          <w:sz w:val="20"/>
          <w:szCs w:val="20"/>
        </w:rPr>
        <w:t xml:space="preserve"> </w:t>
      </w:r>
      <w:r w:rsidR="00610A14">
        <w:rPr>
          <w:sz w:val="20"/>
          <w:szCs w:val="20"/>
        </w:rPr>
        <w:t>P</w:t>
      </w:r>
      <w:r w:rsidR="00610A14" w:rsidRPr="00630C15">
        <w:rPr>
          <w:sz w:val="20"/>
          <w:szCs w:val="20"/>
        </w:rPr>
        <w:t xml:space="preserve">rüfzentren </w:t>
      </w:r>
      <w:r w:rsidRPr="00630C15">
        <w:rPr>
          <w:sz w:val="20"/>
          <w:szCs w:val="20"/>
        </w:rPr>
        <w:t>ist</w:t>
      </w:r>
      <w:r w:rsidR="005800D5">
        <w:rPr>
          <w:sz w:val="20"/>
          <w:szCs w:val="20"/>
        </w:rPr>
        <w:t>,</w:t>
      </w:r>
      <w:r w:rsidRPr="00630C15">
        <w:rPr>
          <w:sz w:val="20"/>
          <w:szCs w:val="20"/>
        </w:rPr>
        <w:t xml:space="preserve"> und dass alle nachfolgenden Veröffentlichungen </w:t>
      </w:r>
      <w:r w:rsidR="005344A0">
        <w:rPr>
          <w:sz w:val="20"/>
          <w:szCs w:val="20"/>
        </w:rPr>
        <w:t>des Prüfzentrums</w:t>
      </w:r>
      <w:r w:rsidRPr="00630C15">
        <w:rPr>
          <w:sz w:val="20"/>
          <w:szCs w:val="20"/>
        </w:rPr>
        <w:t xml:space="preserve"> auf diese erste Veröffentlichung verweisen müssen. </w:t>
      </w:r>
      <w:r w:rsidR="006F4D9B" w:rsidRPr="00630C15">
        <w:rPr>
          <w:sz w:val="20"/>
          <w:szCs w:val="20"/>
        </w:rPr>
        <w:t>Die Veröffentlichung der Gesamtergebnisse der klinischen Prüfung erfolgt unter Koordination des Auftraggebers.</w:t>
      </w:r>
      <w:r w:rsidR="006F4D9B">
        <w:rPr>
          <w:sz w:val="20"/>
          <w:szCs w:val="20"/>
        </w:rPr>
        <w:t xml:space="preserve"> </w:t>
      </w:r>
      <w:r w:rsidR="004D1A0B" w:rsidRPr="004D1A0B">
        <w:rPr>
          <w:sz w:val="20"/>
          <w:szCs w:val="20"/>
        </w:rPr>
        <w:t>Die Veröffentlichung von Daten einzelner Prüfzentren ohne Kontext der Gesamtergebnisse kann ggf. keine validen wissenschaftlichen Aussagen treffen</w:t>
      </w:r>
      <w:r w:rsidR="00E84BC5">
        <w:rPr>
          <w:sz w:val="20"/>
          <w:szCs w:val="20"/>
        </w:rPr>
        <w:t>.</w:t>
      </w:r>
      <w:r w:rsidRPr="00630C15">
        <w:rPr>
          <w:sz w:val="20"/>
          <w:szCs w:val="20"/>
        </w:rPr>
        <w:t xml:space="preserve"> </w:t>
      </w:r>
      <w:r w:rsidR="006F4D9B">
        <w:rPr>
          <w:sz w:val="20"/>
          <w:szCs w:val="20"/>
        </w:rPr>
        <w:t xml:space="preserve">Jedoch </w:t>
      </w:r>
      <w:r w:rsidR="006F4D9B" w:rsidRPr="00630C15">
        <w:rPr>
          <w:sz w:val="20"/>
          <w:szCs w:val="20"/>
        </w:rPr>
        <w:t>können</w:t>
      </w:r>
      <w:r w:rsidR="007B36B6">
        <w:rPr>
          <w:sz w:val="20"/>
          <w:szCs w:val="20"/>
        </w:rPr>
        <w:t xml:space="preserve"> die am Prüfzentrum generierten  </w:t>
      </w:r>
      <w:r w:rsidR="006F4D9B" w:rsidRPr="00630C15">
        <w:rPr>
          <w:sz w:val="20"/>
          <w:szCs w:val="20"/>
        </w:rPr>
        <w:t xml:space="preserve"> </w:t>
      </w:r>
      <w:r w:rsidR="00C47EE5">
        <w:rPr>
          <w:sz w:val="20"/>
          <w:szCs w:val="20"/>
        </w:rPr>
        <w:t>E</w:t>
      </w:r>
      <w:r w:rsidR="00C47EE5" w:rsidRPr="00630C15">
        <w:rPr>
          <w:sz w:val="20"/>
          <w:szCs w:val="20"/>
        </w:rPr>
        <w:t xml:space="preserve">rgebnisse </w:t>
      </w:r>
      <w:r w:rsidRPr="00630C15">
        <w:rPr>
          <w:sz w:val="20"/>
          <w:szCs w:val="20"/>
        </w:rPr>
        <w:t xml:space="preserve">unter Vorbehalt der Bedingungen des </w:t>
      </w:r>
      <w:r w:rsidR="009B0B59" w:rsidRPr="009B0B59">
        <w:rPr>
          <w:i/>
          <w:sz w:val="20"/>
          <w:szCs w:val="20"/>
        </w:rPr>
        <w:t>[</w:t>
      </w:r>
      <w:r w:rsidRPr="009B0B59">
        <w:rPr>
          <w:i/>
          <w:sz w:val="20"/>
          <w:szCs w:val="20"/>
        </w:rPr>
        <w:t>Abschnittes Nr</w:t>
      </w:r>
      <w:r w:rsidR="00E2173E" w:rsidRPr="009B0B59">
        <w:rPr>
          <w:i/>
          <w:sz w:val="20"/>
          <w:szCs w:val="20"/>
        </w:rPr>
        <w:t>.</w:t>
      </w:r>
      <w:r w:rsidRPr="009B0B59">
        <w:rPr>
          <w:i/>
          <w:sz w:val="20"/>
          <w:szCs w:val="20"/>
        </w:rPr>
        <w:t xml:space="preserve"> </w:t>
      </w:r>
      <w:r w:rsidR="008E6B72" w:rsidRPr="009B0B59">
        <w:rPr>
          <w:i/>
          <w:sz w:val="20"/>
          <w:szCs w:val="20"/>
        </w:rPr>
        <w:t>1.2</w:t>
      </w:r>
      <w:r w:rsidR="009B0B59" w:rsidRPr="009B0B59">
        <w:rPr>
          <w:i/>
          <w:sz w:val="20"/>
          <w:szCs w:val="20"/>
        </w:rPr>
        <w:t>]</w:t>
      </w:r>
      <w:r w:rsidR="008E6B72" w:rsidRPr="00EA43FE">
        <w:rPr>
          <w:sz w:val="20"/>
          <w:szCs w:val="20"/>
        </w:rPr>
        <w:t xml:space="preserve"> </w:t>
      </w:r>
      <w:r w:rsidR="00FE4629" w:rsidRPr="00630C15">
        <w:rPr>
          <w:sz w:val="20"/>
          <w:szCs w:val="20"/>
        </w:rPr>
        <w:t xml:space="preserve">vor </w:t>
      </w:r>
      <w:r w:rsidR="006F4D9B">
        <w:rPr>
          <w:sz w:val="20"/>
          <w:szCs w:val="20"/>
        </w:rPr>
        <w:t>V</w:t>
      </w:r>
      <w:r w:rsidR="00610A14" w:rsidRPr="00630C15">
        <w:rPr>
          <w:sz w:val="20"/>
          <w:szCs w:val="20"/>
        </w:rPr>
        <w:t>eröffentlichung</w:t>
      </w:r>
      <w:r w:rsidR="00FE4629" w:rsidRPr="00630C15">
        <w:rPr>
          <w:sz w:val="20"/>
          <w:szCs w:val="20"/>
        </w:rPr>
        <w:t xml:space="preserve"> der Gesamtergebnisse ohne vorherige schriftliche Zustimmung des Sponsors/Auftraggebers </w:t>
      </w:r>
      <w:r w:rsidR="00610A14">
        <w:rPr>
          <w:sz w:val="20"/>
          <w:szCs w:val="20"/>
        </w:rPr>
        <w:t>veröffentlicht</w:t>
      </w:r>
      <w:r w:rsidR="00610A14" w:rsidRPr="00630C15">
        <w:rPr>
          <w:sz w:val="20"/>
          <w:szCs w:val="20"/>
        </w:rPr>
        <w:t xml:space="preserve"> </w:t>
      </w:r>
      <w:r w:rsidR="00FE4629" w:rsidRPr="00630C15">
        <w:rPr>
          <w:sz w:val="20"/>
          <w:szCs w:val="20"/>
        </w:rPr>
        <w:t xml:space="preserve">werden, sofern die </w:t>
      </w:r>
      <w:r w:rsidR="006F4D9B">
        <w:rPr>
          <w:sz w:val="20"/>
          <w:szCs w:val="20"/>
        </w:rPr>
        <w:t>V</w:t>
      </w:r>
      <w:r w:rsidR="00610A14" w:rsidRPr="00630C15">
        <w:rPr>
          <w:sz w:val="20"/>
          <w:szCs w:val="20"/>
        </w:rPr>
        <w:t>eröffentlichung</w:t>
      </w:r>
      <w:r w:rsidR="00FE4629" w:rsidRPr="00630C15">
        <w:rPr>
          <w:sz w:val="20"/>
          <w:szCs w:val="20"/>
        </w:rPr>
        <w:t xml:space="preserve"> </w:t>
      </w:r>
      <w:r w:rsidR="006F4D9B" w:rsidRPr="00630C15">
        <w:rPr>
          <w:sz w:val="20"/>
          <w:szCs w:val="20"/>
        </w:rPr>
        <w:t xml:space="preserve">der Gesamtergebnisse </w:t>
      </w:r>
      <w:r w:rsidR="003C69F6">
        <w:rPr>
          <w:sz w:val="20"/>
          <w:szCs w:val="20"/>
        </w:rPr>
        <w:t xml:space="preserve">nicht </w:t>
      </w:r>
      <w:r w:rsidR="00FE4629" w:rsidRPr="00630C15">
        <w:rPr>
          <w:sz w:val="20"/>
          <w:szCs w:val="20"/>
        </w:rPr>
        <w:t xml:space="preserve">innerhalb von </w:t>
      </w:r>
      <w:r w:rsidR="00610A14" w:rsidRPr="00610A14">
        <w:rPr>
          <w:i/>
          <w:sz w:val="20"/>
          <w:szCs w:val="20"/>
        </w:rPr>
        <w:t>[</w:t>
      </w:r>
      <w:r w:rsidR="003C69F6">
        <w:rPr>
          <w:i/>
          <w:sz w:val="20"/>
          <w:szCs w:val="20"/>
        </w:rPr>
        <w:t xml:space="preserve">i.d.R. ein Zeitraum zwischen </w:t>
      </w:r>
      <w:r w:rsidR="00937DDA" w:rsidRPr="00610A14">
        <w:rPr>
          <w:i/>
          <w:sz w:val="20"/>
          <w:szCs w:val="20"/>
        </w:rPr>
        <w:t>12 bis 24</w:t>
      </w:r>
      <w:r w:rsidR="00EF6DCC">
        <w:rPr>
          <w:sz w:val="20"/>
          <w:szCs w:val="20"/>
        </w:rPr>
        <w:t xml:space="preserve"> </w:t>
      </w:r>
      <w:r w:rsidR="00FE4629" w:rsidRPr="003C69F6">
        <w:rPr>
          <w:i/>
          <w:sz w:val="20"/>
          <w:szCs w:val="20"/>
        </w:rPr>
        <w:t>Monaten</w:t>
      </w:r>
      <w:r w:rsidR="003C69F6" w:rsidRPr="00610A14">
        <w:rPr>
          <w:i/>
          <w:sz w:val="20"/>
          <w:szCs w:val="20"/>
        </w:rPr>
        <w:t>]</w:t>
      </w:r>
      <w:r w:rsidR="00FE4629" w:rsidRPr="00630C15">
        <w:rPr>
          <w:sz w:val="20"/>
          <w:szCs w:val="20"/>
        </w:rPr>
        <w:t xml:space="preserve"> nach </w:t>
      </w:r>
      <w:r w:rsidR="00190F4D">
        <w:rPr>
          <w:sz w:val="20"/>
          <w:szCs w:val="20"/>
        </w:rPr>
        <w:t>A</w:t>
      </w:r>
      <w:r w:rsidR="00190F4D" w:rsidRPr="00630C15">
        <w:rPr>
          <w:sz w:val="20"/>
          <w:szCs w:val="20"/>
        </w:rPr>
        <w:t xml:space="preserve">bschluss </w:t>
      </w:r>
      <w:r w:rsidR="00190F4D">
        <w:rPr>
          <w:sz w:val="20"/>
          <w:szCs w:val="20"/>
        </w:rPr>
        <w:t xml:space="preserve">der klinischen Prüfung </w:t>
      </w:r>
      <w:r w:rsidR="00FE4629" w:rsidRPr="00630C15">
        <w:rPr>
          <w:sz w:val="20"/>
          <w:szCs w:val="20"/>
        </w:rPr>
        <w:t xml:space="preserve">erfolgt. </w:t>
      </w:r>
    </w:p>
    <w:p w14:paraId="7D51A8D7" w14:textId="77777777" w:rsidR="00117F37" w:rsidRPr="00630C15" w:rsidRDefault="00117F37" w:rsidP="00C70646">
      <w:pPr>
        <w:jc w:val="both"/>
        <w:rPr>
          <w:sz w:val="20"/>
          <w:szCs w:val="20"/>
        </w:rPr>
      </w:pPr>
    </w:p>
    <w:p w14:paraId="40C74028" w14:textId="278BAAB8" w:rsidR="007728D7" w:rsidRDefault="00907AB2" w:rsidP="00C70646">
      <w:pPr>
        <w:jc w:val="both"/>
        <w:rPr>
          <w:sz w:val="20"/>
          <w:szCs w:val="20"/>
        </w:rPr>
      </w:pPr>
      <w:r>
        <w:rPr>
          <w:sz w:val="20"/>
          <w:szCs w:val="20"/>
          <w:u w:val="single"/>
        </w:rPr>
        <w:t>1</w:t>
      </w:r>
      <w:r w:rsidR="0029304D" w:rsidRPr="00907AB2">
        <w:rPr>
          <w:sz w:val="20"/>
          <w:szCs w:val="20"/>
          <w:u w:val="single"/>
        </w:rPr>
        <w:t xml:space="preserve">.2 </w:t>
      </w:r>
      <w:r w:rsidR="00D637A3">
        <w:rPr>
          <w:sz w:val="20"/>
          <w:szCs w:val="20"/>
          <w:u w:val="single"/>
        </w:rPr>
        <w:tab/>
      </w:r>
      <w:r w:rsidR="0029304D" w:rsidRPr="00907AB2">
        <w:rPr>
          <w:sz w:val="20"/>
          <w:szCs w:val="20"/>
          <w:u w:val="single"/>
        </w:rPr>
        <w:t>Prüfung vor Veröffentlichung</w:t>
      </w:r>
      <w:r w:rsidR="007728D7" w:rsidRPr="00630C15">
        <w:rPr>
          <w:sz w:val="20"/>
          <w:szCs w:val="20"/>
        </w:rPr>
        <w:t xml:space="preserve">. </w:t>
      </w:r>
    </w:p>
    <w:p w14:paraId="36F528B5" w14:textId="77777777" w:rsidR="00907AB2" w:rsidRPr="00630C15" w:rsidRDefault="00907AB2" w:rsidP="00C70646">
      <w:pPr>
        <w:jc w:val="both"/>
        <w:rPr>
          <w:sz w:val="20"/>
          <w:szCs w:val="20"/>
        </w:rPr>
      </w:pPr>
    </w:p>
    <w:p w14:paraId="762769FD" w14:textId="43D1A32A" w:rsidR="00117F37" w:rsidRDefault="00E84B1D" w:rsidP="00C70646">
      <w:pPr>
        <w:jc w:val="both"/>
        <w:rPr>
          <w:sz w:val="20"/>
          <w:szCs w:val="20"/>
        </w:rPr>
      </w:pPr>
      <w:r w:rsidRPr="00630C15">
        <w:rPr>
          <w:sz w:val="20"/>
          <w:szCs w:val="20"/>
        </w:rPr>
        <w:t>D</w:t>
      </w:r>
      <w:r>
        <w:rPr>
          <w:sz w:val="20"/>
          <w:szCs w:val="20"/>
        </w:rPr>
        <w:t>as</w:t>
      </w:r>
      <w:r w:rsidRPr="00630C15">
        <w:rPr>
          <w:sz w:val="20"/>
          <w:szCs w:val="20"/>
        </w:rPr>
        <w:t xml:space="preserve"> </w:t>
      </w:r>
      <w:r>
        <w:rPr>
          <w:sz w:val="20"/>
          <w:szCs w:val="20"/>
        </w:rPr>
        <w:t>Prüfzentrum</w:t>
      </w:r>
      <w:r w:rsidR="007728D7" w:rsidRPr="00630C15">
        <w:rPr>
          <w:sz w:val="20"/>
          <w:szCs w:val="20"/>
        </w:rPr>
        <w:t xml:space="preserve"> sowie seine Mitarbeiter sind </w:t>
      </w:r>
      <w:r w:rsidR="00130262">
        <w:rPr>
          <w:sz w:val="20"/>
          <w:szCs w:val="20"/>
        </w:rPr>
        <w:t xml:space="preserve">nur </w:t>
      </w:r>
      <w:r w:rsidR="007728D7" w:rsidRPr="00630C15">
        <w:rPr>
          <w:sz w:val="20"/>
          <w:szCs w:val="20"/>
        </w:rPr>
        <w:t xml:space="preserve">zu einer Veröffentlichung berechtigt, wenn dem Auftraggeber gemäß </w:t>
      </w:r>
      <w:r w:rsidR="005E4B6D" w:rsidRPr="00630C15">
        <w:rPr>
          <w:sz w:val="20"/>
          <w:szCs w:val="20"/>
        </w:rPr>
        <w:t>den folgenden Regelungen</w:t>
      </w:r>
      <w:r w:rsidR="007728D7" w:rsidRPr="00630C15">
        <w:rPr>
          <w:sz w:val="20"/>
          <w:szCs w:val="20"/>
        </w:rPr>
        <w:t xml:space="preserve"> die Gelegenheit gegeben wurde, die geplante Veröffentlichung zu prüfen, bevor diese eingereicht oder auf andere Weise offengelegt </w:t>
      </w:r>
      <w:r w:rsidR="004D1A0B">
        <w:rPr>
          <w:sz w:val="20"/>
          <w:szCs w:val="20"/>
        </w:rPr>
        <w:t>wird</w:t>
      </w:r>
      <w:r w:rsidR="007728D7" w:rsidRPr="00630C15">
        <w:rPr>
          <w:sz w:val="20"/>
          <w:szCs w:val="20"/>
        </w:rPr>
        <w:t>.</w:t>
      </w:r>
    </w:p>
    <w:p w14:paraId="6119FEA0" w14:textId="77777777" w:rsidR="00907AB2" w:rsidRPr="00630C15" w:rsidRDefault="00907AB2" w:rsidP="00C70646">
      <w:pPr>
        <w:jc w:val="both"/>
        <w:rPr>
          <w:sz w:val="20"/>
          <w:szCs w:val="20"/>
        </w:rPr>
      </w:pPr>
    </w:p>
    <w:p w14:paraId="3D4A39BC" w14:textId="697EA7BF" w:rsidR="0061123C" w:rsidRDefault="00A7217C" w:rsidP="00C70646">
      <w:pPr>
        <w:jc w:val="both"/>
        <w:rPr>
          <w:rFonts w:cs="Arial"/>
          <w:sz w:val="20"/>
          <w:szCs w:val="20"/>
        </w:rPr>
      </w:pPr>
      <w:r>
        <w:rPr>
          <w:rFonts w:cs="Arial"/>
          <w:sz w:val="20"/>
          <w:szCs w:val="20"/>
        </w:rPr>
        <w:t>Das Prüfzentrum</w:t>
      </w:r>
      <w:r w:rsidR="007E3740" w:rsidRPr="00630C15">
        <w:rPr>
          <w:sz w:val="20"/>
          <w:szCs w:val="20"/>
        </w:rPr>
        <w:t xml:space="preserve"> </w:t>
      </w:r>
      <w:r w:rsidR="007728D7" w:rsidRPr="00630C15">
        <w:rPr>
          <w:rFonts w:cs="Arial"/>
          <w:sz w:val="20"/>
          <w:szCs w:val="20"/>
        </w:rPr>
        <w:t xml:space="preserve">wird das zur Veröffentlichung vorgesehene Manuskript mindestens </w:t>
      </w:r>
      <w:r w:rsidR="00610A14" w:rsidRPr="00610A14">
        <w:rPr>
          <w:rFonts w:cs="Arial"/>
          <w:i/>
          <w:sz w:val="20"/>
          <w:szCs w:val="20"/>
        </w:rPr>
        <w:t>[</w:t>
      </w:r>
      <w:r w:rsidR="003C69F6">
        <w:rPr>
          <w:i/>
          <w:sz w:val="20"/>
          <w:szCs w:val="20"/>
        </w:rPr>
        <w:t xml:space="preserve">i.d.R. ein Zeitraum zwischen </w:t>
      </w:r>
      <w:r w:rsidR="00323F5C" w:rsidRPr="00610A14">
        <w:rPr>
          <w:rFonts w:cs="Arial"/>
          <w:i/>
          <w:sz w:val="20"/>
          <w:szCs w:val="20"/>
        </w:rPr>
        <w:t xml:space="preserve">30 bis </w:t>
      </w:r>
      <w:r w:rsidR="00A612BF" w:rsidRPr="00610A14">
        <w:rPr>
          <w:rFonts w:cs="Arial"/>
          <w:i/>
          <w:sz w:val="20"/>
          <w:szCs w:val="20"/>
        </w:rPr>
        <w:t>60</w:t>
      </w:r>
      <w:r w:rsidR="00EF6DCC">
        <w:rPr>
          <w:rFonts w:cs="Arial"/>
          <w:sz w:val="20"/>
          <w:szCs w:val="20"/>
        </w:rPr>
        <w:t xml:space="preserve"> </w:t>
      </w:r>
      <w:r w:rsidR="00260D96" w:rsidRPr="003C69F6">
        <w:rPr>
          <w:rFonts w:cs="Arial"/>
          <w:i/>
          <w:sz w:val="20"/>
          <w:szCs w:val="20"/>
        </w:rPr>
        <w:t>Kalendertage</w:t>
      </w:r>
      <w:r w:rsidR="003C69F6" w:rsidRPr="00610A14">
        <w:rPr>
          <w:rFonts w:cs="Arial"/>
          <w:i/>
          <w:sz w:val="20"/>
          <w:szCs w:val="20"/>
        </w:rPr>
        <w:t>]</w:t>
      </w:r>
      <w:r w:rsidR="007728D7" w:rsidRPr="00630C15">
        <w:rPr>
          <w:rFonts w:cs="Arial"/>
          <w:sz w:val="20"/>
          <w:szCs w:val="20"/>
        </w:rPr>
        <w:t xml:space="preserve"> vor Einreichung zur Veröffentlichung zur Verfügung stellen</w:t>
      </w:r>
      <w:r w:rsidR="007E3740">
        <w:rPr>
          <w:rFonts w:cs="Arial"/>
          <w:sz w:val="20"/>
          <w:szCs w:val="20"/>
        </w:rPr>
        <w:t>,</w:t>
      </w:r>
      <w:r w:rsidR="007728D7" w:rsidRPr="00630C15">
        <w:rPr>
          <w:rFonts w:cs="Arial"/>
          <w:sz w:val="20"/>
          <w:szCs w:val="20"/>
        </w:rPr>
        <w:t xml:space="preserve"> um dem </w:t>
      </w:r>
      <w:r w:rsidR="00907AB2" w:rsidRPr="00907AB2">
        <w:rPr>
          <w:rFonts w:cs="Arial"/>
          <w:sz w:val="20"/>
          <w:szCs w:val="20"/>
        </w:rPr>
        <w:t xml:space="preserve">Auftraggeber </w:t>
      </w:r>
      <w:r w:rsidR="007728D7" w:rsidRPr="00630C15">
        <w:rPr>
          <w:rFonts w:cs="Arial"/>
          <w:sz w:val="20"/>
          <w:szCs w:val="20"/>
        </w:rPr>
        <w:t xml:space="preserve">die Feststellung vertraulicher Informationen und geistigen Eigentums zu ermöglichen. </w:t>
      </w:r>
      <w:r w:rsidR="0061123C" w:rsidRPr="00630C15">
        <w:rPr>
          <w:sz w:val="20"/>
          <w:szCs w:val="20"/>
        </w:rPr>
        <w:t>Der Auftraggeber wird nach Erhalt des Manuskripts/Entwurfs prüfen</w:t>
      </w:r>
      <w:r w:rsidR="00437B13">
        <w:rPr>
          <w:sz w:val="20"/>
          <w:szCs w:val="20"/>
        </w:rPr>
        <w:t>, ob seine Interessen beeinträchtigt w</w:t>
      </w:r>
      <w:r w:rsidR="004D1A0B">
        <w:rPr>
          <w:sz w:val="20"/>
          <w:szCs w:val="20"/>
        </w:rPr>
        <w:t>e</w:t>
      </w:r>
      <w:r w:rsidR="00437B13">
        <w:rPr>
          <w:sz w:val="20"/>
          <w:szCs w:val="20"/>
        </w:rPr>
        <w:t>rden</w:t>
      </w:r>
      <w:r w:rsidR="0061123C" w:rsidRPr="00630C15">
        <w:rPr>
          <w:sz w:val="20"/>
          <w:szCs w:val="20"/>
        </w:rPr>
        <w:t xml:space="preserve">. </w:t>
      </w:r>
      <w:r w:rsidR="0061123C" w:rsidRPr="00630C15">
        <w:rPr>
          <w:rFonts w:cs="Arial"/>
          <w:sz w:val="20"/>
          <w:szCs w:val="20"/>
        </w:rPr>
        <w:t xml:space="preserve">Der </w:t>
      </w:r>
      <w:r w:rsidR="00907AB2" w:rsidRPr="00907AB2">
        <w:rPr>
          <w:rFonts w:cs="Arial"/>
          <w:sz w:val="20"/>
          <w:szCs w:val="20"/>
        </w:rPr>
        <w:t xml:space="preserve">Auftraggeber </w:t>
      </w:r>
      <w:r w:rsidR="0061123C" w:rsidRPr="00630C15">
        <w:rPr>
          <w:rFonts w:cs="Arial"/>
          <w:sz w:val="20"/>
          <w:szCs w:val="20"/>
        </w:rPr>
        <w:t xml:space="preserve">wird </w:t>
      </w:r>
      <w:r w:rsidR="00E84B1D">
        <w:rPr>
          <w:rFonts w:cs="Arial"/>
          <w:sz w:val="20"/>
          <w:szCs w:val="20"/>
        </w:rPr>
        <w:t>das Prüfzentrum</w:t>
      </w:r>
      <w:r w:rsidR="00907AB2" w:rsidRPr="00907AB2">
        <w:rPr>
          <w:rFonts w:cs="Arial"/>
          <w:sz w:val="20"/>
          <w:szCs w:val="20"/>
        </w:rPr>
        <w:t xml:space="preserve"> </w:t>
      </w:r>
      <w:r w:rsidR="0061123C" w:rsidRPr="00630C15">
        <w:rPr>
          <w:rFonts w:cs="Arial"/>
          <w:sz w:val="20"/>
          <w:szCs w:val="20"/>
        </w:rPr>
        <w:t>umgehend schriftlich über vertrauliche Informationen</w:t>
      </w:r>
      <w:r w:rsidR="004D1A0B" w:rsidRPr="004D1A0B">
        <w:t xml:space="preserve"> </w:t>
      </w:r>
      <w:r w:rsidR="004D1A0B" w:rsidRPr="004D1A0B">
        <w:rPr>
          <w:rFonts w:cs="Arial"/>
          <w:sz w:val="20"/>
          <w:szCs w:val="20"/>
        </w:rPr>
        <w:t>und/oder das Verlangen die Frist zu verlängern, um dem Auftraggeber zu ermöglichen, Schutz- oder Patentrechte zu sichern bzw. anzumelden,</w:t>
      </w:r>
      <w:r w:rsidR="0061123C" w:rsidRPr="00630C15">
        <w:rPr>
          <w:rFonts w:cs="Arial"/>
          <w:sz w:val="20"/>
          <w:szCs w:val="20"/>
        </w:rPr>
        <w:t xml:space="preserve"> informieren.</w:t>
      </w:r>
    </w:p>
    <w:p w14:paraId="6395B391" w14:textId="77777777" w:rsidR="00EC552D" w:rsidRPr="00630C15" w:rsidRDefault="00EC552D" w:rsidP="00C70646">
      <w:pPr>
        <w:jc w:val="both"/>
        <w:rPr>
          <w:sz w:val="20"/>
          <w:szCs w:val="20"/>
        </w:rPr>
      </w:pPr>
    </w:p>
    <w:p w14:paraId="0116AC74" w14:textId="36831342" w:rsidR="0061123C" w:rsidRDefault="00E84B1D" w:rsidP="00C70646">
      <w:pPr>
        <w:jc w:val="both"/>
        <w:rPr>
          <w:rFonts w:cs="Arial"/>
          <w:sz w:val="20"/>
          <w:szCs w:val="20"/>
        </w:rPr>
      </w:pPr>
      <w:r>
        <w:rPr>
          <w:rFonts w:cs="Arial"/>
          <w:sz w:val="20"/>
          <w:szCs w:val="20"/>
        </w:rPr>
        <w:t>Das Prüfzentrum</w:t>
      </w:r>
      <w:r w:rsidR="00907AB2" w:rsidRPr="00907AB2">
        <w:rPr>
          <w:rFonts w:cs="Arial"/>
          <w:sz w:val="20"/>
          <w:szCs w:val="20"/>
        </w:rPr>
        <w:t xml:space="preserve"> </w:t>
      </w:r>
      <w:r w:rsidR="007728D7" w:rsidRPr="00630C15">
        <w:rPr>
          <w:rFonts w:cs="Arial"/>
          <w:sz w:val="20"/>
          <w:szCs w:val="20"/>
        </w:rPr>
        <w:t xml:space="preserve">wird benannte vertrauliche Informationen vor Einreichung zur Veröffentlichung löschen. </w:t>
      </w:r>
    </w:p>
    <w:p w14:paraId="5DE28B65" w14:textId="77777777" w:rsidR="00907AB2" w:rsidRPr="00630C15" w:rsidRDefault="00907AB2" w:rsidP="00C70646">
      <w:pPr>
        <w:jc w:val="both"/>
        <w:rPr>
          <w:rFonts w:cs="Arial"/>
          <w:sz w:val="20"/>
          <w:szCs w:val="20"/>
        </w:rPr>
      </w:pPr>
    </w:p>
    <w:p w14:paraId="570A96CE" w14:textId="0F3D30D2" w:rsidR="0061123C" w:rsidRPr="00630C15" w:rsidRDefault="0061123C" w:rsidP="00C70646">
      <w:pPr>
        <w:jc w:val="both"/>
        <w:rPr>
          <w:rFonts w:cs="Arial"/>
          <w:sz w:val="20"/>
          <w:szCs w:val="20"/>
        </w:rPr>
      </w:pPr>
      <w:r w:rsidRPr="00630C15">
        <w:rPr>
          <w:sz w:val="20"/>
          <w:szCs w:val="20"/>
        </w:rPr>
        <w:t>Der Auftraggeber kann auch inhaltliche Kommentare abgeben und/oder Änderungsvorschläge</w:t>
      </w:r>
      <w:r w:rsidR="007811D2">
        <w:rPr>
          <w:sz w:val="20"/>
          <w:szCs w:val="20"/>
        </w:rPr>
        <w:t xml:space="preserve"> unterbreiten</w:t>
      </w:r>
      <w:r w:rsidRPr="00630C15">
        <w:rPr>
          <w:sz w:val="20"/>
          <w:szCs w:val="20"/>
        </w:rPr>
        <w:t xml:space="preserve">. </w:t>
      </w:r>
      <w:r w:rsidR="00E84B1D">
        <w:rPr>
          <w:sz w:val="20"/>
          <w:szCs w:val="20"/>
        </w:rPr>
        <w:t>Das Prüfzentrum</w:t>
      </w:r>
      <w:r w:rsidRPr="001F2B1B">
        <w:rPr>
          <w:sz w:val="20"/>
          <w:szCs w:val="20"/>
        </w:rPr>
        <w:t xml:space="preserve"> wird </w:t>
      </w:r>
      <w:r w:rsidR="006F4D9B">
        <w:rPr>
          <w:sz w:val="20"/>
          <w:szCs w:val="20"/>
        </w:rPr>
        <w:t xml:space="preserve">solche </w:t>
      </w:r>
      <w:r w:rsidRPr="001F2B1B">
        <w:rPr>
          <w:sz w:val="20"/>
          <w:szCs w:val="20"/>
        </w:rPr>
        <w:t>Kommentare</w:t>
      </w:r>
      <w:r w:rsidR="00EC552D" w:rsidRPr="001F2B1B">
        <w:rPr>
          <w:sz w:val="20"/>
          <w:szCs w:val="20"/>
        </w:rPr>
        <w:t>/Änderungsvorschläge</w:t>
      </w:r>
      <w:r w:rsidRPr="001F2B1B">
        <w:rPr>
          <w:sz w:val="20"/>
          <w:szCs w:val="20"/>
        </w:rPr>
        <w:t xml:space="preserve"> berücksichtigen</w:t>
      </w:r>
      <w:r w:rsidR="007811D2" w:rsidRPr="001F2B1B">
        <w:rPr>
          <w:sz w:val="20"/>
          <w:szCs w:val="20"/>
        </w:rPr>
        <w:t xml:space="preserve"> und umsetzen</w:t>
      </w:r>
      <w:r w:rsidRPr="001F2B1B">
        <w:rPr>
          <w:sz w:val="20"/>
          <w:szCs w:val="20"/>
        </w:rPr>
        <w:t xml:space="preserve">, </w:t>
      </w:r>
      <w:r w:rsidR="001A36AD" w:rsidRPr="001F2B1B">
        <w:rPr>
          <w:sz w:val="20"/>
          <w:szCs w:val="20"/>
        </w:rPr>
        <w:t xml:space="preserve">es sei denn </w:t>
      </w:r>
      <w:r w:rsidR="007811D2" w:rsidRPr="001F2B1B">
        <w:rPr>
          <w:sz w:val="20"/>
          <w:szCs w:val="20"/>
        </w:rPr>
        <w:t>diese</w:t>
      </w:r>
      <w:r w:rsidR="00EF6DCC">
        <w:rPr>
          <w:sz w:val="20"/>
          <w:szCs w:val="20"/>
        </w:rPr>
        <w:t xml:space="preserve"> </w:t>
      </w:r>
      <w:r w:rsidR="001A36AD" w:rsidRPr="001F2B1B">
        <w:rPr>
          <w:sz w:val="20"/>
          <w:szCs w:val="20"/>
        </w:rPr>
        <w:t>beeinträchtig</w:t>
      </w:r>
      <w:r w:rsidR="00EF6DCC">
        <w:rPr>
          <w:sz w:val="20"/>
          <w:szCs w:val="20"/>
        </w:rPr>
        <w:t>en</w:t>
      </w:r>
      <w:r w:rsidR="001A36AD" w:rsidRPr="001F2B1B">
        <w:rPr>
          <w:sz w:val="20"/>
          <w:szCs w:val="20"/>
        </w:rPr>
        <w:t xml:space="preserve"> </w:t>
      </w:r>
      <w:r w:rsidRPr="001F2B1B">
        <w:rPr>
          <w:sz w:val="20"/>
          <w:szCs w:val="20"/>
        </w:rPr>
        <w:t>die wissenschaftliche Richtigkeit oder die Neutralität der Veröffentlichung.</w:t>
      </w:r>
    </w:p>
    <w:p w14:paraId="4C483E78" w14:textId="77777777" w:rsidR="0061123C" w:rsidRPr="00630C15" w:rsidRDefault="0061123C" w:rsidP="00C70646">
      <w:pPr>
        <w:jc w:val="both"/>
        <w:rPr>
          <w:rFonts w:cs="Arial"/>
          <w:sz w:val="20"/>
          <w:szCs w:val="20"/>
        </w:rPr>
      </w:pPr>
    </w:p>
    <w:p w14:paraId="0A914F13" w14:textId="3AF628CC" w:rsidR="0029304D" w:rsidRPr="00630C15" w:rsidRDefault="007728D7" w:rsidP="00C70646">
      <w:pPr>
        <w:jc w:val="both"/>
        <w:rPr>
          <w:rFonts w:cs="Arial"/>
          <w:sz w:val="20"/>
          <w:szCs w:val="20"/>
        </w:rPr>
      </w:pPr>
      <w:r w:rsidRPr="00630C15">
        <w:rPr>
          <w:rFonts w:cs="Arial"/>
          <w:sz w:val="20"/>
          <w:szCs w:val="20"/>
        </w:rPr>
        <w:t xml:space="preserve">Auf Verlangen des </w:t>
      </w:r>
      <w:r w:rsidR="00907AB2" w:rsidRPr="00907AB2">
        <w:rPr>
          <w:rFonts w:cs="Arial"/>
          <w:sz w:val="20"/>
          <w:szCs w:val="20"/>
        </w:rPr>
        <w:t>Auftraggeber</w:t>
      </w:r>
      <w:r w:rsidR="00907AB2">
        <w:rPr>
          <w:rFonts w:cs="Arial"/>
          <w:sz w:val="20"/>
          <w:szCs w:val="20"/>
        </w:rPr>
        <w:t>s</w:t>
      </w:r>
      <w:r w:rsidR="00EF6DCC">
        <w:rPr>
          <w:rFonts w:cs="Arial"/>
          <w:sz w:val="20"/>
          <w:szCs w:val="20"/>
        </w:rPr>
        <w:t xml:space="preserve"> </w:t>
      </w:r>
      <w:r w:rsidRPr="00630C15">
        <w:rPr>
          <w:rFonts w:cs="Arial"/>
          <w:sz w:val="20"/>
          <w:szCs w:val="20"/>
        </w:rPr>
        <w:t xml:space="preserve">ist die Frist zur Veröffentlichung um maximal </w:t>
      </w:r>
      <w:r w:rsidR="006F4D9B" w:rsidRPr="00610A14">
        <w:rPr>
          <w:rFonts w:cs="Arial"/>
          <w:i/>
          <w:sz w:val="20"/>
          <w:szCs w:val="20"/>
        </w:rPr>
        <w:t>[</w:t>
      </w:r>
      <w:r w:rsidR="006F4D9B">
        <w:rPr>
          <w:i/>
          <w:sz w:val="20"/>
          <w:szCs w:val="20"/>
        </w:rPr>
        <w:t xml:space="preserve">i.d.R. </w:t>
      </w:r>
      <w:r w:rsidRPr="006F4D9B">
        <w:rPr>
          <w:i/>
          <w:sz w:val="20"/>
          <w:szCs w:val="20"/>
        </w:rPr>
        <w:t>90</w:t>
      </w:r>
      <w:r w:rsidR="00EF6DCC">
        <w:rPr>
          <w:rFonts w:cs="Arial"/>
          <w:sz w:val="20"/>
          <w:szCs w:val="20"/>
        </w:rPr>
        <w:t xml:space="preserve"> </w:t>
      </w:r>
      <w:r w:rsidR="00F401F1" w:rsidRPr="00630C15">
        <w:rPr>
          <w:rFonts w:cs="Arial"/>
          <w:sz w:val="20"/>
          <w:szCs w:val="20"/>
        </w:rPr>
        <w:t>Kalendert</w:t>
      </w:r>
      <w:r w:rsidRPr="00630C15">
        <w:rPr>
          <w:rFonts w:cs="Arial"/>
          <w:sz w:val="20"/>
          <w:szCs w:val="20"/>
        </w:rPr>
        <w:t>age</w:t>
      </w:r>
      <w:r w:rsidR="006F4D9B" w:rsidRPr="006F4D9B">
        <w:rPr>
          <w:i/>
          <w:sz w:val="20"/>
          <w:szCs w:val="20"/>
        </w:rPr>
        <w:t>]</w:t>
      </w:r>
      <w:r w:rsidRPr="00630C15">
        <w:rPr>
          <w:rFonts w:cs="Arial"/>
          <w:sz w:val="20"/>
          <w:szCs w:val="20"/>
        </w:rPr>
        <w:t xml:space="preserve"> zu verlängern, um dem </w:t>
      </w:r>
      <w:r w:rsidR="00907AB2" w:rsidRPr="00907AB2">
        <w:rPr>
          <w:rFonts w:cs="Arial"/>
          <w:sz w:val="20"/>
          <w:szCs w:val="20"/>
        </w:rPr>
        <w:t xml:space="preserve">Auftraggeber </w:t>
      </w:r>
      <w:r w:rsidRPr="00630C15">
        <w:rPr>
          <w:rFonts w:cs="Arial"/>
          <w:sz w:val="20"/>
          <w:szCs w:val="20"/>
        </w:rPr>
        <w:t xml:space="preserve">zu ermöglichen, Schutz- oder Patentrechte zu sichern bzw. anzumelden. Sollte der </w:t>
      </w:r>
      <w:r w:rsidR="00907AB2" w:rsidRPr="00907AB2">
        <w:rPr>
          <w:rFonts w:cs="Arial"/>
          <w:sz w:val="20"/>
          <w:szCs w:val="20"/>
        </w:rPr>
        <w:t>Auftraggeber de</w:t>
      </w:r>
      <w:r w:rsidR="00907AB2">
        <w:rPr>
          <w:rFonts w:cs="Arial"/>
          <w:sz w:val="20"/>
          <w:szCs w:val="20"/>
        </w:rPr>
        <w:t>m</w:t>
      </w:r>
      <w:r w:rsidR="00907AB2" w:rsidRPr="00907AB2">
        <w:rPr>
          <w:rFonts w:cs="Arial"/>
          <w:sz w:val="20"/>
          <w:szCs w:val="20"/>
        </w:rPr>
        <w:t xml:space="preserve"> </w:t>
      </w:r>
      <w:r w:rsidR="00E84B1D">
        <w:rPr>
          <w:rFonts w:cs="Arial"/>
          <w:sz w:val="20"/>
          <w:szCs w:val="20"/>
        </w:rPr>
        <w:t>Prüfzentrum</w:t>
      </w:r>
      <w:r w:rsidR="00E84B1D" w:rsidRPr="00907AB2">
        <w:rPr>
          <w:rFonts w:cs="Arial"/>
          <w:sz w:val="20"/>
          <w:szCs w:val="20"/>
        </w:rPr>
        <w:t xml:space="preserve"> </w:t>
      </w:r>
      <w:r w:rsidRPr="00630C15">
        <w:rPr>
          <w:rFonts w:cs="Arial"/>
          <w:sz w:val="20"/>
          <w:szCs w:val="20"/>
        </w:rPr>
        <w:t>gegenüber binnen der vorgenannten Frist</w:t>
      </w:r>
      <w:r w:rsidR="00F401F1" w:rsidRPr="00630C15">
        <w:rPr>
          <w:rFonts w:cs="Arial"/>
          <w:sz w:val="20"/>
          <w:szCs w:val="20"/>
        </w:rPr>
        <w:t>en</w:t>
      </w:r>
      <w:r w:rsidRPr="00630C15">
        <w:rPr>
          <w:rFonts w:cs="Arial"/>
          <w:sz w:val="20"/>
          <w:szCs w:val="20"/>
        </w:rPr>
        <w:t xml:space="preserve"> keine Mitteilung machen, steht es </w:t>
      </w:r>
      <w:r w:rsidR="00907AB2" w:rsidRPr="00907AB2">
        <w:rPr>
          <w:rFonts w:cs="Arial"/>
          <w:sz w:val="20"/>
          <w:szCs w:val="20"/>
        </w:rPr>
        <w:t xml:space="preserve">dem </w:t>
      </w:r>
      <w:r w:rsidR="00E84B1D">
        <w:rPr>
          <w:rFonts w:cs="Arial"/>
          <w:sz w:val="20"/>
          <w:szCs w:val="20"/>
        </w:rPr>
        <w:t>Prüfzentrum</w:t>
      </w:r>
      <w:r w:rsidR="00E84B1D" w:rsidRPr="00907AB2">
        <w:rPr>
          <w:rFonts w:cs="Arial"/>
          <w:sz w:val="20"/>
          <w:szCs w:val="20"/>
        </w:rPr>
        <w:t xml:space="preserve"> </w:t>
      </w:r>
      <w:r w:rsidRPr="00630C15">
        <w:rPr>
          <w:rFonts w:cs="Arial"/>
          <w:sz w:val="20"/>
          <w:szCs w:val="20"/>
        </w:rPr>
        <w:t>frei, die vorgelegten Manuskripte zur Veröffentlichung einzureichen</w:t>
      </w:r>
      <w:r w:rsidR="00F401F1" w:rsidRPr="00630C15">
        <w:rPr>
          <w:rFonts w:cs="Arial"/>
          <w:sz w:val="20"/>
          <w:szCs w:val="20"/>
        </w:rPr>
        <w:t xml:space="preserve"> und zu veröffentlichen</w:t>
      </w:r>
      <w:r w:rsidRPr="00630C15">
        <w:rPr>
          <w:rFonts w:cs="Arial"/>
          <w:sz w:val="20"/>
          <w:szCs w:val="20"/>
        </w:rPr>
        <w:t xml:space="preserve">. </w:t>
      </w:r>
    </w:p>
    <w:p w14:paraId="03933857" w14:textId="77777777" w:rsidR="00F401F1" w:rsidRPr="00630C15" w:rsidRDefault="00F401F1" w:rsidP="00C70646">
      <w:pPr>
        <w:jc w:val="both"/>
        <w:rPr>
          <w:sz w:val="20"/>
          <w:szCs w:val="20"/>
        </w:rPr>
      </w:pPr>
    </w:p>
    <w:p w14:paraId="41E50A11" w14:textId="77777777" w:rsidR="00F401F1" w:rsidRPr="00D637A3" w:rsidRDefault="00907AB2" w:rsidP="00C70646">
      <w:pPr>
        <w:jc w:val="both"/>
        <w:rPr>
          <w:sz w:val="20"/>
          <w:szCs w:val="20"/>
          <w:u w:val="single"/>
        </w:rPr>
      </w:pPr>
      <w:r w:rsidRPr="00D637A3">
        <w:rPr>
          <w:sz w:val="20"/>
          <w:szCs w:val="20"/>
          <w:u w:val="single"/>
        </w:rPr>
        <w:t>1</w:t>
      </w:r>
      <w:r w:rsidR="00F401F1" w:rsidRPr="00D637A3">
        <w:rPr>
          <w:sz w:val="20"/>
          <w:szCs w:val="20"/>
          <w:u w:val="single"/>
        </w:rPr>
        <w:t>.</w:t>
      </w:r>
      <w:r w:rsidR="008E6B72" w:rsidRPr="00D637A3">
        <w:rPr>
          <w:sz w:val="20"/>
          <w:szCs w:val="20"/>
          <w:u w:val="single"/>
        </w:rPr>
        <w:t>3</w:t>
      </w:r>
      <w:r w:rsidR="00F401F1" w:rsidRPr="00D637A3">
        <w:rPr>
          <w:sz w:val="20"/>
          <w:szCs w:val="20"/>
          <w:u w:val="single"/>
        </w:rPr>
        <w:tab/>
        <w:t xml:space="preserve">Standards. </w:t>
      </w:r>
    </w:p>
    <w:p w14:paraId="0AC00B51" w14:textId="77777777" w:rsidR="00F401F1" w:rsidRPr="00630C15" w:rsidRDefault="00F401F1" w:rsidP="00C70646">
      <w:pPr>
        <w:jc w:val="both"/>
        <w:rPr>
          <w:sz w:val="20"/>
          <w:szCs w:val="20"/>
        </w:rPr>
      </w:pPr>
    </w:p>
    <w:p w14:paraId="047ECD70" w14:textId="614B32CA" w:rsidR="00F401F1" w:rsidRPr="00630C15" w:rsidRDefault="00A7217C" w:rsidP="00C70646">
      <w:pPr>
        <w:jc w:val="both"/>
        <w:rPr>
          <w:sz w:val="20"/>
          <w:szCs w:val="20"/>
        </w:rPr>
      </w:pPr>
      <w:r>
        <w:rPr>
          <w:sz w:val="20"/>
          <w:szCs w:val="20"/>
        </w:rPr>
        <w:t>Das Prüfzentrum</w:t>
      </w:r>
      <w:r w:rsidR="00F401F1" w:rsidRPr="00630C15">
        <w:rPr>
          <w:sz w:val="20"/>
          <w:szCs w:val="20"/>
        </w:rPr>
        <w:t xml:space="preserve"> hält sich bei allen Veröffentlichungen an die aktuellen akademischen Standards, z.B. die </w:t>
      </w:r>
      <w:proofErr w:type="spellStart"/>
      <w:r w:rsidR="00F401F1" w:rsidRPr="00630C15">
        <w:rPr>
          <w:sz w:val="20"/>
          <w:szCs w:val="20"/>
        </w:rPr>
        <w:t>Autorenschaftsrichtlinien</w:t>
      </w:r>
      <w:proofErr w:type="spellEnd"/>
      <w:r w:rsidR="00F401F1" w:rsidRPr="00630C15">
        <w:rPr>
          <w:sz w:val="20"/>
          <w:szCs w:val="20"/>
        </w:rPr>
        <w:t xml:space="preserve"> der </w:t>
      </w:r>
      <w:proofErr w:type="spellStart"/>
      <w:r w:rsidR="00F401F1" w:rsidRPr="00630C15">
        <w:rPr>
          <w:i/>
          <w:sz w:val="20"/>
          <w:szCs w:val="20"/>
        </w:rPr>
        <w:t>Recommendations</w:t>
      </w:r>
      <w:proofErr w:type="spellEnd"/>
      <w:r w:rsidR="00EF6DCC">
        <w:rPr>
          <w:i/>
          <w:sz w:val="20"/>
          <w:szCs w:val="20"/>
        </w:rPr>
        <w:t xml:space="preserve"> </w:t>
      </w:r>
      <w:proofErr w:type="spellStart"/>
      <w:r w:rsidR="00F401F1" w:rsidRPr="00630C15">
        <w:rPr>
          <w:i/>
          <w:sz w:val="20"/>
          <w:szCs w:val="20"/>
        </w:rPr>
        <w:t>for</w:t>
      </w:r>
      <w:proofErr w:type="spellEnd"/>
      <w:r w:rsidR="00EF6DCC">
        <w:rPr>
          <w:i/>
          <w:sz w:val="20"/>
          <w:szCs w:val="20"/>
        </w:rPr>
        <w:t xml:space="preserve"> </w:t>
      </w:r>
      <w:proofErr w:type="spellStart"/>
      <w:r w:rsidR="00F401F1" w:rsidRPr="00630C15">
        <w:rPr>
          <w:i/>
          <w:sz w:val="20"/>
          <w:szCs w:val="20"/>
        </w:rPr>
        <w:t>the</w:t>
      </w:r>
      <w:proofErr w:type="spellEnd"/>
      <w:r w:rsidR="00F401F1" w:rsidRPr="00630C15">
        <w:rPr>
          <w:i/>
          <w:sz w:val="20"/>
          <w:szCs w:val="20"/>
        </w:rPr>
        <w:t xml:space="preserve"> Conduct, Reporting, </w:t>
      </w:r>
      <w:proofErr w:type="spellStart"/>
      <w:r w:rsidR="00F401F1" w:rsidRPr="00630C15">
        <w:rPr>
          <w:i/>
          <w:sz w:val="20"/>
          <w:szCs w:val="20"/>
        </w:rPr>
        <w:t>Editing</w:t>
      </w:r>
      <w:proofErr w:type="spellEnd"/>
      <w:r w:rsidR="00F401F1" w:rsidRPr="00630C15">
        <w:rPr>
          <w:i/>
          <w:sz w:val="20"/>
          <w:szCs w:val="20"/>
        </w:rPr>
        <w:t xml:space="preserve">, and </w:t>
      </w:r>
      <w:proofErr w:type="spellStart"/>
      <w:r w:rsidR="00F401F1" w:rsidRPr="00630C15">
        <w:rPr>
          <w:i/>
          <w:sz w:val="20"/>
          <w:szCs w:val="20"/>
        </w:rPr>
        <w:t>Publication</w:t>
      </w:r>
      <w:proofErr w:type="spellEnd"/>
      <w:r w:rsidR="00EF6DCC">
        <w:rPr>
          <w:i/>
          <w:sz w:val="20"/>
          <w:szCs w:val="20"/>
        </w:rPr>
        <w:t xml:space="preserve"> </w:t>
      </w:r>
      <w:proofErr w:type="spellStart"/>
      <w:r w:rsidR="00F401F1" w:rsidRPr="00630C15">
        <w:rPr>
          <w:i/>
          <w:sz w:val="20"/>
          <w:szCs w:val="20"/>
        </w:rPr>
        <w:t>of</w:t>
      </w:r>
      <w:proofErr w:type="spellEnd"/>
      <w:r w:rsidR="00EF6DCC">
        <w:rPr>
          <w:i/>
          <w:sz w:val="20"/>
          <w:szCs w:val="20"/>
        </w:rPr>
        <w:t xml:space="preserve"> </w:t>
      </w:r>
      <w:proofErr w:type="spellStart"/>
      <w:r w:rsidR="00F401F1" w:rsidRPr="00630C15">
        <w:rPr>
          <w:i/>
          <w:sz w:val="20"/>
          <w:szCs w:val="20"/>
        </w:rPr>
        <w:t>Scholarly</w:t>
      </w:r>
      <w:proofErr w:type="spellEnd"/>
      <w:r w:rsidR="00F401F1" w:rsidRPr="00630C15">
        <w:rPr>
          <w:i/>
          <w:sz w:val="20"/>
          <w:szCs w:val="20"/>
        </w:rPr>
        <w:t xml:space="preserve"> Work in Medical Journals</w:t>
      </w:r>
      <w:r w:rsidR="00F401F1" w:rsidRPr="00630C15">
        <w:rPr>
          <w:sz w:val="20"/>
          <w:szCs w:val="20"/>
        </w:rPr>
        <w:t xml:space="preserve"> (</w:t>
      </w:r>
      <w:hyperlink r:id="rId10">
        <w:r w:rsidR="00F401F1" w:rsidRPr="00630C15">
          <w:rPr>
            <w:rStyle w:val="Hyperlink"/>
            <w:sz w:val="20"/>
            <w:szCs w:val="20"/>
          </w:rPr>
          <w:t>http://www.icmje.org/icmje-recommendations.pdf</w:t>
        </w:r>
      </w:hyperlink>
      <w:r w:rsidR="00F401F1" w:rsidRPr="00630C15">
        <w:rPr>
          <w:sz w:val="20"/>
          <w:szCs w:val="20"/>
        </w:rPr>
        <w:t xml:space="preserve">), die vom International Committee </w:t>
      </w:r>
      <w:proofErr w:type="spellStart"/>
      <w:r w:rsidR="00F401F1" w:rsidRPr="00630C15">
        <w:rPr>
          <w:sz w:val="20"/>
          <w:szCs w:val="20"/>
        </w:rPr>
        <w:t>of</w:t>
      </w:r>
      <w:proofErr w:type="spellEnd"/>
      <w:r w:rsidR="00F401F1" w:rsidRPr="00630C15">
        <w:rPr>
          <w:sz w:val="20"/>
          <w:szCs w:val="20"/>
        </w:rPr>
        <w:t xml:space="preserve"> Medical Journal Editors festgelegt wurden.</w:t>
      </w:r>
    </w:p>
    <w:p w14:paraId="0F9BFF35" w14:textId="77777777" w:rsidR="00C46B3F" w:rsidRPr="00630C15" w:rsidRDefault="00C46B3F" w:rsidP="00C70646">
      <w:pPr>
        <w:jc w:val="both"/>
        <w:rPr>
          <w:sz w:val="20"/>
          <w:szCs w:val="20"/>
        </w:rPr>
      </w:pPr>
    </w:p>
    <w:p w14:paraId="6E9A4C99" w14:textId="77777777" w:rsidR="00C46B3F" w:rsidRPr="00D637A3" w:rsidRDefault="00907AB2" w:rsidP="00C70646">
      <w:pPr>
        <w:jc w:val="both"/>
        <w:rPr>
          <w:sz w:val="20"/>
          <w:szCs w:val="20"/>
          <w:u w:val="single"/>
        </w:rPr>
      </w:pPr>
      <w:r w:rsidRPr="00D637A3">
        <w:rPr>
          <w:sz w:val="20"/>
          <w:szCs w:val="20"/>
          <w:u w:val="single"/>
        </w:rPr>
        <w:t>1</w:t>
      </w:r>
      <w:r w:rsidR="00C46B3F" w:rsidRPr="00D637A3">
        <w:rPr>
          <w:sz w:val="20"/>
          <w:szCs w:val="20"/>
          <w:u w:val="single"/>
        </w:rPr>
        <w:t>.</w:t>
      </w:r>
      <w:r w:rsidR="008E6B72" w:rsidRPr="00D637A3">
        <w:rPr>
          <w:sz w:val="20"/>
          <w:szCs w:val="20"/>
          <w:u w:val="single"/>
        </w:rPr>
        <w:t>4</w:t>
      </w:r>
      <w:r w:rsidR="00C46B3F" w:rsidRPr="00D637A3">
        <w:rPr>
          <w:sz w:val="20"/>
          <w:szCs w:val="20"/>
          <w:u w:val="single"/>
        </w:rPr>
        <w:tab/>
        <w:t>Offenlegung der Unterstützung</w:t>
      </w:r>
      <w:r w:rsidRPr="00D637A3">
        <w:rPr>
          <w:sz w:val="20"/>
          <w:szCs w:val="20"/>
          <w:u w:val="single"/>
        </w:rPr>
        <w:t>.</w:t>
      </w:r>
    </w:p>
    <w:p w14:paraId="30797A33" w14:textId="77777777" w:rsidR="00C46B3F" w:rsidRPr="00630C15" w:rsidRDefault="00C46B3F" w:rsidP="00C70646">
      <w:pPr>
        <w:jc w:val="both"/>
        <w:rPr>
          <w:sz w:val="20"/>
          <w:szCs w:val="20"/>
        </w:rPr>
      </w:pPr>
    </w:p>
    <w:p w14:paraId="3F51D0AB" w14:textId="21889F90" w:rsidR="00C46B3F" w:rsidRPr="00630C15" w:rsidRDefault="00A7217C" w:rsidP="00C70646">
      <w:pPr>
        <w:jc w:val="both"/>
        <w:rPr>
          <w:sz w:val="20"/>
          <w:szCs w:val="20"/>
        </w:rPr>
      </w:pPr>
      <w:r>
        <w:rPr>
          <w:sz w:val="20"/>
          <w:szCs w:val="20"/>
        </w:rPr>
        <w:t>Das Prüfzentrum</w:t>
      </w:r>
      <w:r w:rsidR="00C46B3F" w:rsidRPr="00630C15">
        <w:rPr>
          <w:sz w:val="20"/>
          <w:szCs w:val="20"/>
        </w:rPr>
        <w:t xml:space="preserve"> </w:t>
      </w:r>
      <w:r w:rsidRPr="00630C15">
        <w:rPr>
          <w:sz w:val="20"/>
          <w:szCs w:val="20"/>
        </w:rPr>
        <w:t>w</w:t>
      </w:r>
      <w:r>
        <w:rPr>
          <w:sz w:val="20"/>
          <w:szCs w:val="20"/>
        </w:rPr>
        <w:t>ird</w:t>
      </w:r>
      <w:r w:rsidRPr="00630C15">
        <w:rPr>
          <w:sz w:val="20"/>
          <w:szCs w:val="20"/>
        </w:rPr>
        <w:t xml:space="preserve"> </w:t>
      </w:r>
      <w:r w:rsidR="00C46B3F" w:rsidRPr="00630C15">
        <w:rPr>
          <w:sz w:val="20"/>
          <w:szCs w:val="20"/>
        </w:rPr>
        <w:t xml:space="preserve">im Fall von Publikationen, Vorträgen oder anderen öffentlichen Äußerungen im Zusammenhang mit dem Vertragsgegenstand auf die Tätigkeit für den Auftraggeber hinweisen und in jeder Veröffentlichung </w:t>
      </w:r>
      <w:r w:rsidR="00130262" w:rsidRPr="00630C15">
        <w:rPr>
          <w:sz w:val="20"/>
          <w:szCs w:val="20"/>
        </w:rPr>
        <w:t>d</w:t>
      </w:r>
      <w:r w:rsidR="00130262">
        <w:rPr>
          <w:sz w:val="20"/>
          <w:szCs w:val="20"/>
        </w:rPr>
        <w:t>en</w:t>
      </w:r>
      <w:r w:rsidR="00130262" w:rsidRPr="00630C15">
        <w:rPr>
          <w:sz w:val="20"/>
          <w:szCs w:val="20"/>
        </w:rPr>
        <w:t xml:space="preserve"> </w:t>
      </w:r>
      <w:r w:rsidR="00FE7E99">
        <w:rPr>
          <w:sz w:val="20"/>
          <w:szCs w:val="20"/>
        </w:rPr>
        <w:t>Auftraggeber</w:t>
      </w:r>
      <w:r w:rsidR="00C46B3F" w:rsidRPr="00630C15">
        <w:rPr>
          <w:sz w:val="20"/>
          <w:szCs w:val="20"/>
        </w:rPr>
        <w:t xml:space="preserve"> der klinischen Prüfung offenlegen.</w:t>
      </w:r>
    </w:p>
    <w:p w14:paraId="7922343D" w14:textId="6E2943E1" w:rsidR="00E31227" w:rsidRPr="001B6494" w:rsidRDefault="00E31227" w:rsidP="001B6494">
      <w:pPr>
        <w:jc w:val="both"/>
        <w:rPr>
          <w:sz w:val="20"/>
          <w:szCs w:val="20"/>
        </w:rPr>
      </w:pPr>
    </w:p>
    <w:p w14:paraId="303AFE40" w14:textId="77777777" w:rsidR="00C05BE4" w:rsidRDefault="00C05BE4" w:rsidP="00C70646">
      <w:pPr>
        <w:jc w:val="both"/>
        <w:rPr>
          <w:sz w:val="20"/>
          <w:szCs w:val="20"/>
        </w:rPr>
      </w:pPr>
    </w:p>
    <w:p w14:paraId="62389AEA" w14:textId="77777777" w:rsidR="00C05BE4" w:rsidRPr="00E0748C" w:rsidRDefault="00C05BE4" w:rsidP="00C70646">
      <w:pPr>
        <w:jc w:val="both"/>
        <w:rPr>
          <w:b/>
          <w:sz w:val="20"/>
          <w:szCs w:val="20"/>
        </w:rPr>
      </w:pPr>
      <w:r>
        <w:rPr>
          <w:b/>
          <w:sz w:val="20"/>
          <w:szCs w:val="20"/>
        </w:rPr>
        <w:t>2</w:t>
      </w:r>
      <w:r w:rsidRPr="00E0748C">
        <w:rPr>
          <w:b/>
          <w:sz w:val="20"/>
          <w:szCs w:val="20"/>
        </w:rPr>
        <w:t xml:space="preserve">. </w:t>
      </w:r>
      <w:r>
        <w:rPr>
          <w:b/>
          <w:sz w:val="20"/>
          <w:szCs w:val="20"/>
        </w:rPr>
        <w:tab/>
      </w:r>
      <w:r w:rsidRPr="00E0748C">
        <w:rPr>
          <w:b/>
          <w:sz w:val="20"/>
          <w:szCs w:val="20"/>
        </w:rPr>
        <w:t xml:space="preserve">Vertrauliche Informationen. </w:t>
      </w:r>
    </w:p>
    <w:p w14:paraId="309BEFA8" w14:textId="77777777" w:rsidR="00C05BE4" w:rsidRPr="00E0748C" w:rsidRDefault="00C05BE4" w:rsidP="00C70646">
      <w:pPr>
        <w:tabs>
          <w:tab w:val="left" w:pos="5238"/>
        </w:tabs>
        <w:jc w:val="both"/>
        <w:rPr>
          <w:sz w:val="20"/>
          <w:szCs w:val="20"/>
        </w:rPr>
      </w:pPr>
    </w:p>
    <w:p w14:paraId="6945C20A" w14:textId="77777777" w:rsidR="00C05BE4" w:rsidRPr="00235FAD" w:rsidRDefault="00C05BE4" w:rsidP="00C70646">
      <w:pPr>
        <w:jc w:val="both"/>
        <w:rPr>
          <w:sz w:val="20"/>
          <w:szCs w:val="20"/>
          <w:u w:val="single"/>
        </w:rPr>
      </w:pPr>
      <w:r w:rsidRPr="00235FAD">
        <w:rPr>
          <w:sz w:val="20"/>
          <w:szCs w:val="20"/>
          <w:u w:val="single"/>
        </w:rPr>
        <w:t xml:space="preserve">2.1 </w:t>
      </w:r>
      <w:r w:rsidR="00235FAD">
        <w:rPr>
          <w:sz w:val="20"/>
          <w:szCs w:val="20"/>
          <w:u w:val="single"/>
        </w:rPr>
        <w:tab/>
      </w:r>
      <w:r w:rsidRPr="00235FAD">
        <w:rPr>
          <w:sz w:val="20"/>
          <w:szCs w:val="20"/>
          <w:u w:val="single"/>
        </w:rPr>
        <w:t xml:space="preserve">Begriffsbestimmung/Verwendung. </w:t>
      </w:r>
    </w:p>
    <w:p w14:paraId="3431FACF" w14:textId="77777777" w:rsidR="00C05BE4" w:rsidRPr="00E0748C" w:rsidRDefault="00C05BE4" w:rsidP="00C70646">
      <w:pPr>
        <w:tabs>
          <w:tab w:val="left" w:pos="5238"/>
        </w:tabs>
        <w:jc w:val="both"/>
        <w:rPr>
          <w:sz w:val="20"/>
          <w:szCs w:val="20"/>
        </w:rPr>
      </w:pPr>
    </w:p>
    <w:p w14:paraId="7C6FB6BB" w14:textId="0EA8AA4B" w:rsidR="00C05BE4" w:rsidRPr="00E0748C" w:rsidRDefault="00A7217C" w:rsidP="00C70646">
      <w:pPr>
        <w:tabs>
          <w:tab w:val="left" w:pos="5238"/>
        </w:tabs>
        <w:jc w:val="both"/>
        <w:rPr>
          <w:sz w:val="20"/>
          <w:szCs w:val="20"/>
        </w:rPr>
      </w:pPr>
      <w:r>
        <w:rPr>
          <w:sz w:val="20"/>
          <w:szCs w:val="20"/>
        </w:rPr>
        <w:t>Das Prüfzentrum</w:t>
      </w:r>
      <w:r w:rsidR="00C05BE4" w:rsidRPr="00E0748C">
        <w:rPr>
          <w:sz w:val="20"/>
          <w:szCs w:val="20"/>
        </w:rPr>
        <w:t xml:space="preserve"> wird alle Informationen, die ihm vom Auftraggeber oder einem mit diesem verbundenen Unternehmen in Bezug auf die klinische Prüfung, die </w:t>
      </w:r>
      <w:r w:rsidR="00130262" w:rsidRPr="00446621">
        <w:rPr>
          <w:sz w:val="20"/>
          <w:szCs w:val="20"/>
        </w:rPr>
        <w:t>Prüfpräparate</w:t>
      </w:r>
      <w:r w:rsidR="00DB56AF">
        <w:rPr>
          <w:sz w:val="20"/>
          <w:szCs w:val="20"/>
        </w:rPr>
        <w:t xml:space="preserve"> (</w:t>
      </w:r>
      <w:r w:rsidR="00DB56AF" w:rsidRPr="00DB56AF">
        <w:rPr>
          <w:i/>
          <w:sz w:val="20"/>
          <w:szCs w:val="20"/>
        </w:rPr>
        <w:t xml:space="preserve">oder </w:t>
      </w:r>
      <w:r w:rsidR="00C05BE4" w:rsidRPr="00DB56AF">
        <w:rPr>
          <w:i/>
          <w:sz w:val="20"/>
          <w:szCs w:val="20"/>
        </w:rPr>
        <w:t>Prüfmedikation</w:t>
      </w:r>
      <w:r w:rsidR="00DB56AF">
        <w:rPr>
          <w:sz w:val="20"/>
          <w:szCs w:val="20"/>
        </w:rPr>
        <w:t>)</w:t>
      </w:r>
      <w:r w:rsidR="00C05BE4" w:rsidRPr="00E0748C">
        <w:rPr>
          <w:sz w:val="20"/>
          <w:szCs w:val="20"/>
        </w:rPr>
        <w:t xml:space="preserve"> oder den vorliegenden Vertrag offenbart werden, sowie sämtliche Ergebnisse </w:t>
      </w:r>
      <w:r w:rsidR="00130262">
        <w:rPr>
          <w:sz w:val="20"/>
          <w:szCs w:val="20"/>
        </w:rPr>
        <w:t xml:space="preserve">der Prüfung </w:t>
      </w:r>
      <w:r w:rsidR="00C05BE4" w:rsidRPr="00E0748C">
        <w:rPr>
          <w:sz w:val="20"/>
          <w:szCs w:val="20"/>
        </w:rPr>
        <w:t>(nachstehend „</w:t>
      </w:r>
      <w:r w:rsidR="00130262">
        <w:rPr>
          <w:sz w:val="20"/>
          <w:szCs w:val="20"/>
        </w:rPr>
        <w:t>v</w:t>
      </w:r>
      <w:r w:rsidR="00130262" w:rsidRPr="00E0748C">
        <w:rPr>
          <w:sz w:val="20"/>
          <w:szCs w:val="20"/>
        </w:rPr>
        <w:t xml:space="preserve">ertrauliche </w:t>
      </w:r>
      <w:r w:rsidR="00C05BE4" w:rsidRPr="00E0748C">
        <w:rPr>
          <w:sz w:val="20"/>
          <w:szCs w:val="20"/>
        </w:rPr>
        <w:t xml:space="preserve">Informationen“ genannt) streng geheim halten. </w:t>
      </w:r>
      <w:r>
        <w:rPr>
          <w:sz w:val="20"/>
          <w:szCs w:val="20"/>
        </w:rPr>
        <w:t>Das Prüfzentrum</w:t>
      </w:r>
      <w:r w:rsidR="00C05BE4" w:rsidRPr="00E0748C">
        <w:rPr>
          <w:sz w:val="20"/>
          <w:szCs w:val="20"/>
        </w:rPr>
        <w:t xml:space="preserve"> wird die </w:t>
      </w:r>
      <w:r w:rsidR="00EF6DCC">
        <w:rPr>
          <w:sz w:val="20"/>
          <w:szCs w:val="20"/>
        </w:rPr>
        <w:t>v</w:t>
      </w:r>
      <w:r w:rsidR="00EF6DCC" w:rsidRPr="00E0748C">
        <w:rPr>
          <w:sz w:val="20"/>
          <w:szCs w:val="20"/>
        </w:rPr>
        <w:t xml:space="preserve">ertraulichen </w:t>
      </w:r>
      <w:r w:rsidR="00C05BE4" w:rsidRPr="00E0748C">
        <w:rPr>
          <w:sz w:val="20"/>
          <w:szCs w:val="20"/>
        </w:rPr>
        <w:t xml:space="preserve">Informationen nur zu den Zwecken des vorliegenden Vertrages verwenden und diese </w:t>
      </w:r>
      <w:r w:rsidR="00EF6DCC">
        <w:rPr>
          <w:sz w:val="20"/>
          <w:szCs w:val="20"/>
        </w:rPr>
        <w:t>v</w:t>
      </w:r>
      <w:r w:rsidR="00EF6DCC" w:rsidRPr="00E0748C">
        <w:rPr>
          <w:sz w:val="20"/>
          <w:szCs w:val="20"/>
        </w:rPr>
        <w:t xml:space="preserve">ertraulichen </w:t>
      </w:r>
      <w:r w:rsidR="00C05BE4" w:rsidRPr="00E0748C">
        <w:rPr>
          <w:sz w:val="20"/>
          <w:szCs w:val="20"/>
        </w:rPr>
        <w:t xml:space="preserve">Informationen Dritten gegenüber nicht offenlegen, falls der Auftraggeber nicht zuvor schriftlich zugestimmt hat. Das Zustimmungserfordernis gilt nicht für die Einbeziehung von </w:t>
      </w:r>
      <w:r>
        <w:rPr>
          <w:sz w:val="20"/>
          <w:szCs w:val="20"/>
        </w:rPr>
        <w:t xml:space="preserve">mit dem Prüfzentrum </w:t>
      </w:r>
      <w:r w:rsidR="00C05BE4" w:rsidRPr="00E0748C">
        <w:rPr>
          <w:sz w:val="20"/>
          <w:szCs w:val="20"/>
        </w:rPr>
        <w:t xml:space="preserve">verbundenen Unternehmen im Sinne von §§ 15ff des Aktiengesetzes. </w:t>
      </w:r>
      <w:r>
        <w:rPr>
          <w:sz w:val="20"/>
          <w:szCs w:val="20"/>
        </w:rPr>
        <w:t>Das Prüfzentrum</w:t>
      </w:r>
      <w:r w:rsidR="00C05BE4" w:rsidRPr="00E0748C">
        <w:rPr>
          <w:sz w:val="20"/>
          <w:szCs w:val="20"/>
        </w:rPr>
        <w:t xml:space="preserve"> darf die </w:t>
      </w:r>
      <w:r w:rsidR="00EF6DCC">
        <w:rPr>
          <w:sz w:val="20"/>
          <w:szCs w:val="20"/>
        </w:rPr>
        <w:t>v</w:t>
      </w:r>
      <w:r w:rsidR="00EF6DCC" w:rsidRPr="00E0748C">
        <w:rPr>
          <w:sz w:val="20"/>
          <w:szCs w:val="20"/>
        </w:rPr>
        <w:t xml:space="preserve">ertraulichen </w:t>
      </w:r>
      <w:r w:rsidR="00C05BE4" w:rsidRPr="00E0748C">
        <w:rPr>
          <w:sz w:val="20"/>
          <w:szCs w:val="20"/>
        </w:rPr>
        <w:t xml:space="preserve">Informationen nur solchen Personen zugänglich machen, die die </w:t>
      </w:r>
      <w:r w:rsidR="009E72B0">
        <w:rPr>
          <w:sz w:val="20"/>
          <w:szCs w:val="20"/>
        </w:rPr>
        <w:t>v</w:t>
      </w:r>
      <w:r w:rsidR="009E72B0" w:rsidRPr="00E0748C">
        <w:rPr>
          <w:sz w:val="20"/>
          <w:szCs w:val="20"/>
        </w:rPr>
        <w:t xml:space="preserve">ertraulichen </w:t>
      </w:r>
      <w:r w:rsidR="00C05BE4" w:rsidRPr="00E0748C">
        <w:rPr>
          <w:sz w:val="20"/>
          <w:szCs w:val="20"/>
        </w:rPr>
        <w:t xml:space="preserve">Informationen zur Durchführung von Leistungen unter diesem Vertrag zwingend benötigen und gegenüber dem </w:t>
      </w:r>
      <w:r>
        <w:rPr>
          <w:sz w:val="20"/>
          <w:szCs w:val="20"/>
        </w:rPr>
        <w:t>Prüfzentrum</w:t>
      </w:r>
      <w:r w:rsidRPr="00E0748C">
        <w:rPr>
          <w:sz w:val="20"/>
          <w:szCs w:val="20"/>
        </w:rPr>
        <w:t xml:space="preserve"> </w:t>
      </w:r>
      <w:r w:rsidR="00C05BE4" w:rsidRPr="00E0748C">
        <w:rPr>
          <w:sz w:val="20"/>
          <w:szCs w:val="20"/>
        </w:rPr>
        <w:t>anhand einer schriftlichen Vereinbarung zur Geheimhaltung verpflichtet sind, die mit den in diesem Vertrag vorgesehenen Regelungen zur Geheimhaltung vergleichbar sind.</w:t>
      </w:r>
    </w:p>
    <w:p w14:paraId="64C21479" w14:textId="77777777" w:rsidR="00C05BE4" w:rsidRPr="00E0748C" w:rsidRDefault="00C05BE4" w:rsidP="00C70646">
      <w:pPr>
        <w:tabs>
          <w:tab w:val="left" w:pos="5238"/>
        </w:tabs>
        <w:jc w:val="both"/>
        <w:rPr>
          <w:sz w:val="20"/>
          <w:szCs w:val="20"/>
        </w:rPr>
      </w:pPr>
    </w:p>
    <w:p w14:paraId="04985F92" w14:textId="7799ACF3" w:rsidR="00C05BE4" w:rsidRDefault="00C05BE4" w:rsidP="00C70646">
      <w:pPr>
        <w:tabs>
          <w:tab w:val="left" w:pos="5238"/>
        </w:tabs>
        <w:jc w:val="both"/>
        <w:rPr>
          <w:sz w:val="20"/>
          <w:szCs w:val="20"/>
        </w:rPr>
      </w:pPr>
      <w:r w:rsidRPr="00E0748C">
        <w:rPr>
          <w:sz w:val="20"/>
          <w:szCs w:val="20"/>
        </w:rPr>
        <w:t xml:space="preserve">Die Verpflichtung zur Geheimhaltung gilt nicht, soweit </w:t>
      </w:r>
      <w:r w:rsidR="00A7217C">
        <w:rPr>
          <w:sz w:val="20"/>
          <w:szCs w:val="20"/>
        </w:rPr>
        <w:t>das Prüfzentrum</w:t>
      </w:r>
      <w:r w:rsidRPr="00E0748C">
        <w:rPr>
          <w:sz w:val="20"/>
          <w:szCs w:val="20"/>
        </w:rPr>
        <w:t xml:space="preserve"> berechtigt ist, die </w:t>
      </w:r>
      <w:r w:rsidR="009E72B0">
        <w:rPr>
          <w:sz w:val="20"/>
          <w:szCs w:val="20"/>
        </w:rPr>
        <w:t>v</w:t>
      </w:r>
      <w:r w:rsidR="009E72B0" w:rsidRPr="00E0748C">
        <w:rPr>
          <w:sz w:val="20"/>
          <w:szCs w:val="20"/>
        </w:rPr>
        <w:t xml:space="preserve">ertraulichen </w:t>
      </w:r>
      <w:r w:rsidRPr="00E0748C">
        <w:rPr>
          <w:sz w:val="20"/>
          <w:szCs w:val="20"/>
        </w:rPr>
        <w:t xml:space="preserve">Informationen nach </w:t>
      </w:r>
      <w:r w:rsidRPr="00130262">
        <w:rPr>
          <w:i/>
          <w:sz w:val="20"/>
          <w:szCs w:val="20"/>
        </w:rPr>
        <w:t>[Verweis auf entsprechende Regelungen im Vertrag]</w:t>
      </w:r>
      <w:r w:rsidRPr="00E0748C">
        <w:rPr>
          <w:sz w:val="20"/>
          <w:szCs w:val="20"/>
        </w:rPr>
        <w:t xml:space="preserve"> zu veröffentlichen.</w:t>
      </w:r>
    </w:p>
    <w:p w14:paraId="64970FF2" w14:textId="77777777" w:rsidR="00C05BE4" w:rsidRDefault="00C05BE4" w:rsidP="00C70646">
      <w:pPr>
        <w:tabs>
          <w:tab w:val="left" w:pos="5238"/>
        </w:tabs>
        <w:jc w:val="both"/>
        <w:rPr>
          <w:sz w:val="20"/>
          <w:szCs w:val="20"/>
        </w:rPr>
      </w:pPr>
    </w:p>
    <w:p w14:paraId="124BA1B1" w14:textId="77777777" w:rsidR="00C05BE4" w:rsidRPr="00235FAD" w:rsidRDefault="00C05BE4" w:rsidP="00C70646">
      <w:pPr>
        <w:tabs>
          <w:tab w:val="left" w:pos="0"/>
        </w:tabs>
        <w:jc w:val="both"/>
        <w:rPr>
          <w:sz w:val="20"/>
          <w:szCs w:val="20"/>
          <w:u w:val="single"/>
        </w:rPr>
      </w:pPr>
      <w:r w:rsidRPr="00235FAD">
        <w:rPr>
          <w:sz w:val="20"/>
          <w:szCs w:val="20"/>
          <w:u w:val="single"/>
        </w:rPr>
        <w:t xml:space="preserve">2.2 </w:t>
      </w:r>
      <w:r w:rsidR="00235FAD">
        <w:rPr>
          <w:sz w:val="20"/>
          <w:szCs w:val="20"/>
          <w:u w:val="single"/>
        </w:rPr>
        <w:tab/>
      </w:r>
      <w:r w:rsidRPr="00235FAD">
        <w:rPr>
          <w:sz w:val="20"/>
          <w:szCs w:val="20"/>
          <w:u w:val="single"/>
        </w:rPr>
        <w:t xml:space="preserve">Ausnahmen. </w:t>
      </w:r>
    </w:p>
    <w:p w14:paraId="7A86B08E" w14:textId="77777777" w:rsidR="00C05BE4" w:rsidRPr="00E0748C" w:rsidRDefault="00C05BE4" w:rsidP="00C70646">
      <w:pPr>
        <w:tabs>
          <w:tab w:val="left" w:pos="5238"/>
        </w:tabs>
        <w:jc w:val="both"/>
        <w:rPr>
          <w:sz w:val="20"/>
          <w:szCs w:val="20"/>
        </w:rPr>
      </w:pPr>
    </w:p>
    <w:p w14:paraId="1C302CB4" w14:textId="5D8CDED6" w:rsidR="00C05BE4" w:rsidRPr="00E0748C" w:rsidRDefault="00C05BE4" w:rsidP="00C70646">
      <w:pPr>
        <w:tabs>
          <w:tab w:val="left" w:pos="5238"/>
        </w:tabs>
        <w:jc w:val="both"/>
        <w:rPr>
          <w:sz w:val="20"/>
          <w:szCs w:val="20"/>
        </w:rPr>
      </w:pPr>
      <w:r w:rsidRPr="00E0748C">
        <w:rPr>
          <w:sz w:val="20"/>
          <w:szCs w:val="20"/>
        </w:rPr>
        <w:t xml:space="preserve">Die vorstehenden Bestimmungen zur Geheimhaltung finden keine Anwendung auf Informationen, für die </w:t>
      </w:r>
      <w:r w:rsidR="00A7217C">
        <w:rPr>
          <w:sz w:val="20"/>
          <w:szCs w:val="20"/>
        </w:rPr>
        <w:t>das Prüfzentrum</w:t>
      </w:r>
      <w:r w:rsidRPr="00E0748C">
        <w:rPr>
          <w:sz w:val="20"/>
          <w:szCs w:val="20"/>
        </w:rPr>
        <w:t xml:space="preserve"> beweisen kann, dass sie </w:t>
      </w:r>
    </w:p>
    <w:p w14:paraId="7F2FA544" w14:textId="77777777" w:rsidR="00C05BE4" w:rsidRPr="00E0748C" w:rsidRDefault="00C05BE4" w:rsidP="00C70646">
      <w:pPr>
        <w:tabs>
          <w:tab w:val="left" w:pos="5238"/>
        </w:tabs>
        <w:jc w:val="both"/>
        <w:rPr>
          <w:sz w:val="20"/>
          <w:szCs w:val="20"/>
        </w:rPr>
      </w:pPr>
    </w:p>
    <w:p w14:paraId="61E42487" w14:textId="3C580179" w:rsidR="00C05BE4" w:rsidRPr="00E0748C" w:rsidRDefault="00C05BE4" w:rsidP="002A4D43">
      <w:pPr>
        <w:pStyle w:val="Listenabsatz"/>
        <w:numPr>
          <w:ilvl w:val="0"/>
          <w:numId w:val="12"/>
        </w:numPr>
        <w:tabs>
          <w:tab w:val="left" w:pos="5238"/>
        </w:tabs>
        <w:spacing w:after="0"/>
        <w:ind w:left="714" w:hanging="357"/>
        <w:jc w:val="both"/>
        <w:rPr>
          <w:rFonts w:ascii="Verdana" w:hAnsi="Verdana"/>
          <w:sz w:val="20"/>
          <w:szCs w:val="20"/>
        </w:rPr>
      </w:pPr>
      <w:r w:rsidRPr="00E0748C">
        <w:rPr>
          <w:rFonts w:ascii="Verdana" w:hAnsi="Verdana"/>
          <w:sz w:val="20"/>
          <w:szCs w:val="20"/>
        </w:rPr>
        <w:lastRenderedPageBreak/>
        <w:t xml:space="preserve">zum Zeitpunkt ihrer Offenlegung durch den Auftraggeber oder ein mit diesem verbundenen Unternehmen bereits im Besitz </w:t>
      </w:r>
      <w:r w:rsidR="00A7217C">
        <w:rPr>
          <w:rFonts w:ascii="Verdana" w:hAnsi="Verdana"/>
          <w:sz w:val="20"/>
          <w:szCs w:val="20"/>
        </w:rPr>
        <w:t>des Prüfzentrums</w:t>
      </w:r>
      <w:r w:rsidRPr="00E0748C">
        <w:rPr>
          <w:rFonts w:ascii="Verdana" w:hAnsi="Verdana"/>
          <w:sz w:val="20"/>
          <w:szCs w:val="20"/>
        </w:rPr>
        <w:t xml:space="preserve"> waren, oder dass sie </w:t>
      </w:r>
    </w:p>
    <w:p w14:paraId="085A2E95" w14:textId="0E933A53" w:rsidR="00C05BE4" w:rsidRPr="00E0748C" w:rsidRDefault="00C05BE4" w:rsidP="002A4D43">
      <w:pPr>
        <w:pStyle w:val="Listenabsatz"/>
        <w:numPr>
          <w:ilvl w:val="0"/>
          <w:numId w:val="12"/>
        </w:numPr>
        <w:tabs>
          <w:tab w:val="left" w:pos="5238"/>
        </w:tabs>
        <w:spacing w:after="0"/>
        <w:ind w:left="714" w:hanging="357"/>
        <w:jc w:val="both"/>
        <w:rPr>
          <w:rFonts w:ascii="Verdana" w:hAnsi="Verdana"/>
          <w:sz w:val="20"/>
          <w:szCs w:val="20"/>
        </w:rPr>
      </w:pPr>
      <w:r w:rsidRPr="00E0748C">
        <w:rPr>
          <w:rFonts w:ascii="Verdana" w:hAnsi="Verdana"/>
          <w:sz w:val="20"/>
          <w:szCs w:val="20"/>
        </w:rPr>
        <w:t xml:space="preserve">der Öffentlichkeit ohne eine Vertragsverletzung oder ein Versäumnis seitens </w:t>
      </w:r>
      <w:r w:rsidR="005344A0">
        <w:rPr>
          <w:rFonts w:ascii="Verdana" w:hAnsi="Verdana"/>
          <w:sz w:val="20"/>
          <w:szCs w:val="20"/>
        </w:rPr>
        <w:t>des Prüfzentrums</w:t>
      </w:r>
      <w:r w:rsidRPr="00E0748C">
        <w:rPr>
          <w:rFonts w:ascii="Verdana" w:hAnsi="Verdana"/>
          <w:sz w:val="20"/>
          <w:szCs w:val="20"/>
        </w:rPr>
        <w:t xml:space="preserve"> zugänglich waren oder werden, oder dass sie</w:t>
      </w:r>
    </w:p>
    <w:p w14:paraId="06B9ADF3" w14:textId="41312F2F" w:rsidR="00C05BE4" w:rsidRPr="00E0748C" w:rsidRDefault="00C05BE4" w:rsidP="002A4D43">
      <w:pPr>
        <w:pStyle w:val="Listenabsatz"/>
        <w:numPr>
          <w:ilvl w:val="0"/>
          <w:numId w:val="12"/>
        </w:numPr>
        <w:tabs>
          <w:tab w:val="left" w:pos="5238"/>
        </w:tabs>
        <w:spacing w:after="0"/>
        <w:ind w:left="714" w:hanging="357"/>
        <w:jc w:val="both"/>
        <w:rPr>
          <w:rFonts w:ascii="Verdana" w:hAnsi="Verdana"/>
          <w:sz w:val="20"/>
          <w:szCs w:val="20"/>
        </w:rPr>
      </w:pPr>
      <w:r w:rsidRPr="00E0748C">
        <w:rPr>
          <w:rFonts w:ascii="Verdana" w:hAnsi="Verdana"/>
          <w:sz w:val="20"/>
          <w:szCs w:val="20"/>
        </w:rPr>
        <w:t xml:space="preserve">rechtmäßig durch </w:t>
      </w:r>
      <w:r w:rsidR="005344A0">
        <w:rPr>
          <w:rFonts w:ascii="Verdana" w:hAnsi="Verdana"/>
          <w:sz w:val="20"/>
          <w:szCs w:val="20"/>
        </w:rPr>
        <w:t>das Prüfzentrum</w:t>
      </w:r>
      <w:r w:rsidRPr="00E0748C">
        <w:rPr>
          <w:rFonts w:ascii="Verdana" w:hAnsi="Verdana"/>
          <w:sz w:val="20"/>
          <w:szCs w:val="20"/>
        </w:rPr>
        <w:t xml:space="preserve"> von einer dritten Partei erworben wurden, die nicht gegenüber dem Auftraggeber oder einem mit diesem verbundenen Unternehmen zur Vertraulichkeit verpflichtet ist, oder dass sie </w:t>
      </w:r>
    </w:p>
    <w:p w14:paraId="1C52F003" w14:textId="5351721A" w:rsidR="00C05BE4" w:rsidRPr="00E0748C" w:rsidRDefault="00A7217C" w:rsidP="002A4D43">
      <w:pPr>
        <w:pStyle w:val="Listenabsatz"/>
        <w:numPr>
          <w:ilvl w:val="0"/>
          <w:numId w:val="12"/>
        </w:numPr>
        <w:tabs>
          <w:tab w:val="left" w:pos="5238"/>
        </w:tabs>
        <w:spacing w:after="0"/>
        <w:ind w:left="714" w:hanging="357"/>
        <w:jc w:val="both"/>
        <w:rPr>
          <w:rFonts w:ascii="Verdana" w:hAnsi="Verdana"/>
          <w:sz w:val="20"/>
          <w:szCs w:val="20"/>
        </w:rPr>
      </w:pPr>
      <w:r w:rsidRPr="00E0748C">
        <w:rPr>
          <w:rFonts w:ascii="Verdana" w:hAnsi="Verdana"/>
          <w:sz w:val="20"/>
          <w:szCs w:val="20"/>
        </w:rPr>
        <w:t>vo</w:t>
      </w:r>
      <w:r>
        <w:rPr>
          <w:rFonts w:ascii="Verdana" w:hAnsi="Verdana"/>
          <w:sz w:val="20"/>
          <w:szCs w:val="20"/>
        </w:rPr>
        <w:t>m Prüfzentrum</w:t>
      </w:r>
      <w:r w:rsidR="00C05BE4" w:rsidRPr="00E0748C">
        <w:rPr>
          <w:rFonts w:ascii="Verdana" w:hAnsi="Verdana"/>
          <w:sz w:val="20"/>
          <w:szCs w:val="20"/>
        </w:rPr>
        <w:t xml:space="preserve"> unabhängig von dem Erhalt und ohne Verwendung der </w:t>
      </w:r>
      <w:r w:rsidR="00DB56AF">
        <w:rPr>
          <w:rFonts w:ascii="Verdana" w:hAnsi="Verdana"/>
          <w:sz w:val="20"/>
          <w:szCs w:val="20"/>
        </w:rPr>
        <w:t>v</w:t>
      </w:r>
      <w:r w:rsidR="00C05BE4" w:rsidRPr="00E0748C">
        <w:rPr>
          <w:rFonts w:ascii="Verdana" w:hAnsi="Verdana"/>
          <w:sz w:val="20"/>
          <w:szCs w:val="20"/>
        </w:rPr>
        <w:t>ertraulichen Informationen generiert wurden.</w:t>
      </w:r>
    </w:p>
    <w:p w14:paraId="34CE676D" w14:textId="77777777" w:rsidR="00C05BE4" w:rsidRPr="00E0748C" w:rsidRDefault="00C05BE4" w:rsidP="00C70646">
      <w:pPr>
        <w:tabs>
          <w:tab w:val="left" w:pos="5238"/>
        </w:tabs>
        <w:jc w:val="both"/>
        <w:rPr>
          <w:sz w:val="20"/>
          <w:szCs w:val="20"/>
        </w:rPr>
      </w:pPr>
    </w:p>
    <w:p w14:paraId="6D628D3F" w14:textId="77777777" w:rsidR="00C05BE4" w:rsidRPr="00235FAD" w:rsidRDefault="00C05BE4" w:rsidP="00C70646">
      <w:pPr>
        <w:tabs>
          <w:tab w:val="left" w:pos="0"/>
        </w:tabs>
        <w:jc w:val="both"/>
        <w:rPr>
          <w:sz w:val="20"/>
          <w:szCs w:val="20"/>
          <w:u w:val="single"/>
        </w:rPr>
      </w:pPr>
      <w:r w:rsidRPr="00235FAD">
        <w:rPr>
          <w:sz w:val="20"/>
          <w:szCs w:val="20"/>
          <w:u w:val="single"/>
        </w:rPr>
        <w:t xml:space="preserve">2.3 </w:t>
      </w:r>
      <w:r w:rsidR="00235FAD">
        <w:rPr>
          <w:sz w:val="20"/>
          <w:szCs w:val="20"/>
          <w:u w:val="single"/>
        </w:rPr>
        <w:tab/>
      </w:r>
      <w:r w:rsidRPr="00235FAD">
        <w:rPr>
          <w:sz w:val="20"/>
          <w:szCs w:val="20"/>
          <w:u w:val="single"/>
        </w:rPr>
        <w:t xml:space="preserve">Offenlegung. </w:t>
      </w:r>
    </w:p>
    <w:p w14:paraId="78D1A31E" w14:textId="77777777" w:rsidR="00C05BE4" w:rsidRPr="00E0748C" w:rsidRDefault="00C05BE4" w:rsidP="00C70646">
      <w:pPr>
        <w:tabs>
          <w:tab w:val="left" w:pos="5238"/>
        </w:tabs>
        <w:jc w:val="both"/>
        <w:rPr>
          <w:sz w:val="20"/>
          <w:szCs w:val="20"/>
        </w:rPr>
      </w:pPr>
    </w:p>
    <w:p w14:paraId="1D6BB235" w14:textId="68DC4F13" w:rsidR="00C05BE4" w:rsidRDefault="00A7217C" w:rsidP="00C70646">
      <w:pPr>
        <w:tabs>
          <w:tab w:val="left" w:pos="5238"/>
        </w:tabs>
        <w:jc w:val="both"/>
        <w:rPr>
          <w:sz w:val="20"/>
          <w:szCs w:val="20"/>
        </w:rPr>
      </w:pPr>
      <w:r>
        <w:rPr>
          <w:sz w:val="20"/>
          <w:szCs w:val="20"/>
        </w:rPr>
        <w:t>Das Prüfzentrum</w:t>
      </w:r>
      <w:r w:rsidR="00C05BE4" w:rsidRPr="00E0748C">
        <w:rPr>
          <w:sz w:val="20"/>
          <w:szCs w:val="20"/>
        </w:rPr>
        <w:t xml:space="preserve"> darf die </w:t>
      </w:r>
      <w:r w:rsidR="009E72B0">
        <w:rPr>
          <w:sz w:val="20"/>
          <w:szCs w:val="20"/>
        </w:rPr>
        <w:t>v</w:t>
      </w:r>
      <w:r w:rsidR="009E72B0" w:rsidRPr="00E0748C">
        <w:rPr>
          <w:sz w:val="20"/>
          <w:szCs w:val="20"/>
        </w:rPr>
        <w:t xml:space="preserve">ertraulichen </w:t>
      </w:r>
      <w:r w:rsidR="00C05BE4" w:rsidRPr="00E0748C">
        <w:rPr>
          <w:sz w:val="20"/>
          <w:szCs w:val="20"/>
        </w:rPr>
        <w:t xml:space="preserve">Informationen offenlegen, soweit dies erforderlich ist, um geltendes Recht oder eine vollstreckbare behördliche oder gerichtliche Anordnung zu befolgen. In einem solchen Fall hat </w:t>
      </w:r>
      <w:r>
        <w:rPr>
          <w:sz w:val="20"/>
          <w:szCs w:val="20"/>
        </w:rPr>
        <w:t>das Prüfzentrum</w:t>
      </w:r>
      <w:r w:rsidR="00C05BE4" w:rsidRPr="00E0748C">
        <w:rPr>
          <w:sz w:val="20"/>
          <w:szCs w:val="20"/>
        </w:rPr>
        <w:t xml:space="preserve">, soweit zulässig, den </w:t>
      </w:r>
      <w:r>
        <w:rPr>
          <w:sz w:val="20"/>
          <w:szCs w:val="20"/>
        </w:rPr>
        <w:t>Auftraggeber</w:t>
      </w:r>
      <w:r w:rsidR="00C05BE4" w:rsidRPr="00E0748C">
        <w:rPr>
          <w:sz w:val="20"/>
          <w:szCs w:val="20"/>
        </w:rPr>
        <w:t xml:space="preserve"> rechtzeitig vor Offenlegung der </w:t>
      </w:r>
      <w:r w:rsidR="009E72B0">
        <w:rPr>
          <w:sz w:val="20"/>
          <w:szCs w:val="20"/>
        </w:rPr>
        <w:t>v</w:t>
      </w:r>
      <w:r w:rsidR="009E72B0" w:rsidRPr="00E0748C">
        <w:rPr>
          <w:sz w:val="20"/>
          <w:szCs w:val="20"/>
        </w:rPr>
        <w:t xml:space="preserve">ertraulichen </w:t>
      </w:r>
      <w:r w:rsidR="00C05BE4" w:rsidRPr="00E0748C">
        <w:rPr>
          <w:sz w:val="20"/>
          <w:szCs w:val="20"/>
        </w:rPr>
        <w:t xml:space="preserve">Informationen zu informieren und mit diesem zu kooperieren, um vorläufigen oder anderen angemessenen Rechtsschutz zu erlangen. </w:t>
      </w:r>
      <w:r>
        <w:rPr>
          <w:sz w:val="20"/>
          <w:szCs w:val="20"/>
        </w:rPr>
        <w:t>Das Prüfzentrum</w:t>
      </w:r>
      <w:r w:rsidR="00C05BE4" w:rsidRPr="00E0748C">
        <w:rPr>
          <w:sz w:val="20"/>
          <w:szCs w:val="20"/>
        </w:rPr>
        <w:t xml:space="preserve"> verpflichtet sich, alle zumutbaren Anstrengungen zu unternehmen, um die vertrauliche Behandlung der offen zu legenden </w:t>
      </w:r>
      <w:r w:rsidR="009E72B0">
        <w:rPr>
          <w:sz w:val="20"/>
          <w:szCs w:val="20"/>
        </w:rPr>
        <w:t>v</w:t>
      </w:r>
      <w:r w:rsidR="009E72B0" w:rsidRPr="00E0748C">
        <w:rPr>
          <w:sz w:val="20"/>
          <w:szCs w:val="20"/>
        </w:rPr>
        <w:t xml:space="preserve">ertraulichen </w:t>
      </w:r>
      <w:r w:rsidR="00C05BE4" w:rsidRPr="00E0748C">
        <w:rPr>
          <w:sz w:val="20"/>
          <w:szCs w:val="20"/>
        </w:rPr>
        <w:t>Informationen sicher zu stellen.</w:t>
      </w:r>
    </w:p>
    <w:p w14:paraId="6DF316D7" w14:textId="77777777" w:rsidR="00A91CEA" w:rsidRDefault="00A91CEA" w:rsidP="00C70646">
      <w:pPr>
        <w:tabs>
          <w:tab w:val="left" w:pos="0"/>
        </w:tabs>
        <w:jc w:val="both"/>
        <w:rPr>
          <w:sz w:val="20"/>
          <w:szCs w:val="20"/>
          <w:u w:val="single"/>
        </w:rPr>
      </w:pPr>
    </w:p>
    <w:p w14:paraId="21C03975" w14:textId="77777777" w:rsidR="00C05BE4" w:rsidRPr="00235FAD" w:rsidRDefault="00C05BE4" w:rsidP="00C70646">
      <w:pPr>
        <w:tabs>
          <w:tab w:val="left" w:pos="0"/>
        </w:tabs>
        <w:jc w:val="both"/>
        <w:rPr>
          <w:sz w:val="20"/>
          <w:szCs w:val="20"/>
          <w:u w:val="single"/>
        </w:rPr>
      </w:pPr>
      <w:r w:rsidRPr="00235FAD">
        <w:rPr>
          <w:sz w:val="20"/>
          <w:szCs w:val="20"/>
          <w:u w:val="single"/>
        </w:rPr>
        <w:t xml:space="preserve">2.4 </w:t>
      </w:r>
      <w:r w:rsidR="00235FAD" w:rsidRPr="00235FAD">
        <w:rPr>
          <w:sz w:val="20"/>
          <w:szCs w:val="20"/>
          <w:u w:val="single"/>
        </w:rPr>
        <w:tab/>
      </w:r>
      <w:r w:rsidRPr="00235FAD">
        <w:rPr>
          <w:sz w:val="20"/>
          <w:szCs w:val="20"/>
          <w:u w:val="single"/>
        </w:rPr>
        <w:t xml:space="preserve">Fortbestehen von Verpflichtungen. </w:t>
      </w:r>
    </w:p>
    <w:p w14:paraId="66690103" w14:textId="77777777" w:rsidR="00C05BE4" w:rsidRPr="00E0748C" w:rsidRDefault="00C05BE4" w:rsidP="00C70646">
      <w:pPr>
        <w:tabs>
          <w:tab w:val="left" w:pos="5238"/>
        </w:tabs>
        <w:jc w:val="both"/>
        <w:rPr>
          <w:sz w:val="20"/>
          <w:szCs w:val="20"/>
        </w:rPr>
      </w:pPr>
    </w:p>
    <w:p w14:paraId="6558C32E" w14:textId="77777777" w:rsidR="00C05BE4" w:rsidRPr="00E0748C" w:rsidRDefault="00C05BE4" w:rsidP="00C70646">
      <w:pPr>
        <w:tabs>
          <w:tab w:val="left" w:pos="5238"/>
        </w:tabs>
        <w:jc w:val="both"/>
        <w:rPr>
          <w:sz w:val="20"/>
          <w:szCs w:val="20"/>
        </w:rPr>
      </w:pPr>
      <w:r w:rsidRPr="00E0748C">
        <w:rPr>
          <w:sz w:val="20"/>
          <w:szCs w:val="20"/>
        </w:rPr>
        <w:t>Die in diesem Vertrag geregelten Geheimhaltungsvorschriften und Verwendungsbeschränkungen gelten auch nach vorzeitiger Beendigung oder Ablauf des Vertrages für den Zeitraum von 10 Jahren fort.</w:t>
      </w:r>
      <w:r w:rsidRPr="00E0748C">
        <w:rPr>
          <w:sz w:val="20"/>
          <w:szCs w:val="20"/>
        </w:rPr>
        <w:cr/>
      </w:r>
    </w:p>
    <w:p w14:paraId="772A13E4" w14:textId="77777777" w:rsidR="00C05BE4" w:rsidRPr="00235FAD" w:rsidRDefault="00C05BE4" w:rsidP="00C70646">
      <w:pPr>
        <w:jc w:val="both"/>
        <w:rPr>
          <w:sz w:val="20"/>
          <w:szCs w:val="20"/>
          <w:u w:val="single"/>
        </w:rPr>
      </w:pPr>
      <w:r w:rsidRPr="00235FAD">
        <w:rPr>
          <w:sz w:val="20"/>
          <w:szCs w:val="20"/>
          <w:u w:val="single"/>
        </w:rPr>
        <w:t xml:space="preserve">2.5 </w:t>
      </w:r>
      <w:r w:rsidR="00235FAD" w:rsidRPr="00235FAD">
        <w:rPr>
          <w:sz w:val="20"/>
          <w:szCs w:val="20"/>
          <w:u w:val="single"/>
        </w:rPr>
        <w:tab/>
      </w:r>
      <w:r w:rsidRPr="00235FAD">
        <w:rPr>
          <w:sz w:val="20"/>
          <w:szCs w:val="20"/>
          <w:u w:val="single"/>
        </w:rPr>
        <w:t xml:space="preserve">Löschung/Vernichtung. </w:t>
      </w:r>
    </w:p>
    <w:p w14:paraId="244A1195" w14:textId="77777777" w:rsidR="00C05BE4" w:rsidRPr="00E0748C" w:rsidRDefault="00C05BE4" w:rsidP="00C70646">
      <w:pPr>
        <w:tabs>
          <w:tab w:val="left" w:pos="5238"/>
        </w:tabs>
        <w:jc w:val="both"/>
        <w:rPr>
          <w:sz w:val="20"/>
          <w:szCs w:val="20"/>
        </w:rPr>
      </w:pPr>
    </w:p>
    <w:p w14:paraId="48914F6E" w14:textId="1E75C7AC" w:rsidR="00C05BE4" w:rsidRPr="00E0748C" w:rsidRDefault="00C05BE4" w:rsidP="00C70646">
      <w:pPr>
        <w:tabs>
          <w:tab w:val="left" w:pos="5238"/>
        </w:tabs>
        <w:jc w:val="both"/>
        <w:rPr>
          <w:sz w:val="20"/>
          <w:szCs w:val="20"/>
        </w:rPr>
      </w:pPr>
      <w:r w:rsidRPr="00E0748C">
        <w:rPr>
          <w:sz w:val="20"/>
          <w:szCs w:val="20"/>
        </w:rPr>
        <w:t xml:space="preserve">Auf entsprechendes Verlangen des Auftraggebers wird </w:t>
      </w:r>
      <w:r w:rsidR="00A7217C">
        <w:rPr>
          <w:sz w:val="20"/>
          <w:szCs w:val="20"/>
        </w:rPr>
        <w:t>das Prüfzentrum</w:t>
      </w:r>
      <w:r w:rsidRPr="00E0748C">
        <w:rPr>
          <w:sz w:val="20"/>
          <w:szCs w:val="20"/>
        </w:rPr>
        <w:t xml:space="preserve"> die in </w:t>
      </w:r>
      <w:r w:rsidR="0096256F" w:rsidRPr="00E0748C">
        <w:rPr>
          <w:sz w:val="20"/>
          <w:szCs w:val="20"/>
        </w:rPr>
        <w:t>seine</w:t>
      </w:r>
      <w:r w:rsidR="0096256F">
        <w:rPr>
          <w:sz w:val="20"/>
          <w:szCs w:val="20"/>
        </w:rPr>
        <w:t>m</w:t>
      </w:r>
      <w:r w:rsidR="0096256F" w:rsidRPr="00E0748C">
        <w:rPr>
          <w:sz w:val="20"/>
          <w:szCs w:val="20"/>
        </w:rPr>
        <w:t xml:space="preserve"> </w:t>
      </w:r>
      <w:r w:rsidRPr="00E0748C">
        <w:rPr>
          <w:sz w:val="20"/>
          <w:szCs w:val="20"/>
        </w:rPr>
        <w:t xml:space="preserve">Besitz befindlichen </w:t>
      </w:r>
      <w:r w:rsidR="009E72B0">
        <w:rPr>
          <w:sz w:val="20"/>
          <w:szCs w:val="20"/>
        </w:rPr>
        <w:t>v</w:t>
      </w:r>
      <w:r w:rsidR="009E72B0" w:rsidRPr="00E0748C">
        <w:rPr>
          <w:sz w:val="20"/>
          <w:szCs w:val="20"/>
        </w:rPr>
        <w:t xml:space="preserve">ertraulichen </w:t>
      </w:r>
      <w:r w:rsidRPr="00E0748C">
        <w:rPr>
          <w:sz w:val="20"/>
          <w:szCs w:val="20"/>
        </w:rPr>
        <w:t xml:space="preserve">Informationen vernichten/löschen soweit technisch möglich oder an den </w:t>
      </w:r>
      <w:r w:rsidR="00A7217C">
        <w:rPr>
          <w:sz w:val="20"/>
          <w:szCs w:val="20"/>
        </w:rPr>
        <w:t>Auftraggeber</w:t>
      </w:r>
      <w:r w:rsidRPr="00E0748C">
        <w:rPr>
          <w:sz w:val="20"/>
          <w:szCs w:val="20"/>
        </w:rPr>
        <w:t xml:space="preserve"> zurückgeben. </w:t>
      </w:r>
      <w:r w:rsidR="00A7217C">
        <w:rPr>
          <w:sz w:val="20"/>
          <w:szCs w:val="20"/>
        </w:rPr>
        <w:t>Das Prüfzentrum</w:t>
      </w:r>
      <w:r w:rsidRPr="00E0748C">
        <w:rPr>
          <w:sz w:val="20"/>
          <w:szCs w:val="20"/>
        </w:rPr>
        <w:t xml:space="preserve"> bleibt auch nach Rückgabe oder Vernichtung der </w:t>
      </w:r>
      <w:r w:rsidR="009E72B0">
        <w:rPr>
          <w:sz w:val="20"/>
          <w:szCs w:val="20"/>
        </w:rPr>
        <w:t>v</w:t>
      </w:r>
      <w:r w:rsidR="009E72B0" w:rsidRPr="00E0748C">
        <w:rPr>
          <w:sz w:val="20"/>
          <w:szCs w:val="20"/>
        </w:rPr>
        <w:t xml:space="preserve">ertraulichen </w:t>
      </w:r>
      <w:r w:rsidRPr="00E0748C">
        <w:rPr>
          <w:sz w:val="20"/>
          <w:szCs w:val="20"/>
        </w:rPr>
        <w:t>Informationen an die Geheimhaltungsvorschriften und Verwendungsbeschränkungen dieses Vertrags gebunden.</w:t>
      </w:r>
    </w:p>
    <w:p w14:paraId="09A101AF" w14:textId="77777777" w:rsidR="00C05BE4" w:rsidRPr="00630C15" w:rsidRDefault="00C05BE4" w:rsidP="00C70646">
      <w:pPr>
        <w:jc w:val="both"/>
        <w:rPr>
          <w:sz w:val="20"/>
          <w:szCs w:val="20"/>
        </w:rPr>
      </w:pPr>
    </w:p>
    <w:p w14:paraId="00CA5E6F" w14:textId="77777777" w:rsidR="00C46B3F" w:rsidRPr="00630C15" w:rsidRDefault="00C46B3F" w:rsidP="00C70646">
      <w:pPr>
        <w:jc w:val="both"/>
        <w:rPr>
          <w:sz w:val="20"/>
          <w:szCs w:val="20"/>
        </w:rPr>
      </w:pPr>
    </w:p>
    <w:p w14:paraId="6E958337" w14:textId="77777777" w:rsidR="00907AB2" w:rsidRDefault="00C05BE4" w:rsidP="00C70646">
      <w:pPr>
        <w:jc w:val="both"/>
        <w:rPr>
          <w:sz w:val="20"/>
          <w:szCs w:val="20"/>
        </w:rPr>
      </w:pPr>
      <w:r w:rsidRPr="00235FAD">
        <w:rPr>
          <w:b/>
          <w:sz w:val="20"/>
          <w:szCs w:val="20"/>
        </w:rPr>
        <w:t>3</w:t>
      </w:r>
      <w:r w:rsidR="00907AB2" w:rsidRPr="00235FAD">
        <w:rPr>
          <w:b/>
          <w:sz w:val="20"/>
          <w:szCs w:val="20"/>
        </w:rPr>
        <w:t>.</w:t>
      </w:r>
      <w:r w:rsidR="00907AB2">
        <w:rPr>
          <w:sz w:val="20"/>
          <w:szCs w:val="20"/>
        </w:rPr>
        <w:tab/>
      </w:r>
      <w:r w:rsidR="00C46B3F" w:rsidRPr="00907AB2">
        <w:rPr>
          <w:b/>
          <w:sz w:val="20"/>
          <w:szCs w:val="20"/>
        </w:rPr>
        <w:t>Markenklauseln/Namensnutzung</w:t>
      </w:r>
    </w:p>
    <w:p w14:paraId="78D7CC57" w14:textId="77777777" w:rsidR="00907AB2" w:rsidRDefault="00907AB2" w:rsidP="00C70646">
      <w:pPr>
        <w:jc w:val="both"/>
        <w:rPr>
          <w:sz w:val="20"/>
          <w:szCs w:val="20"/>
        </w:rPr>
      </w:pPr>
    </w:p>
    <w:p w14:paraId="09C718A0" w14:textId="11077E2A" w:rsidR="00C46B3F" w:rsidRPr="00D927C2" w:rsidRDefault="00947421" w:rsidP="00C70646">
      <w:pPr>
        <w:jc w:val="both"/>
        <w:rPr>
          <w:sz w:val="20"/>
          <w:szCs w:val="20"/>
        </w:rPr>
      </w:pPr>
      <w:r w:rsidRPr="00947421">
        <w:rPr>
          <w:sz w:val="20"/>
          <w:szCs w:val="20"/>
        </w:rPr>
        <w:t xml:space="preserve">Die </w:t>
      </w:r>
      <w:r w:rsidR="0096256F">
        <w:rPr>
          <w:sz w:val="20"/>
          <w:szCs w:val="20"/>
        </w:rPr>
        <w:t>Vertragsp</w:t>
      </w:r>
      <w:r w:rsidRPr="00947421">
        <w:rPr>
          <w:sz w:val="20"/>
          <w:szCs w:val="20"/>
        </w:rPr>
        <w:t xml:space="preserve">arteien erkennen die jeweiligen Namens- und Markenrechte wechselseitig an. Keine </w:t>
      </w:r>
      <w:r w:rsidR="0096256F">
        <w:rPr>
          <w:sz w:val="20"/>
          <w:szCs w:val="20"/>
        </w:rPr>
        <w:t>Vertragsp</w:t>
      </w:r>
      <w:r w:rsidRPr="00947421">
        <w:rPr>
          <w:sz w:val="20"/>
          <w:szCs w:val="20"/>
        </w:rPr>
        <w:t xml:space="preserve">artei wird den Namen oder die </w:t>
      </w:r>
      <w:r w:rsidR="001A36AD">
        <w:rPr>
          <w:sz w:val="20"/>
          <w:szCs w:val="20"/>
        </w:rPr>
        <w:t>Kennzeichen</w:t>
      </w:r>
      <w:r w:rsidR="009E72B0">
        <w:rPr>
          <w:sz w:val="20"/>
          <w:szCs w:val="20"/>
        </w:rPr>
        <w:t xml:space="preserve"> </w:t>
      </w:r>
      <w:r w:rsidRPr="00947421">
        <w:rPr>
          <w:sz w:val="20"/>
          <w:szCs w:val="20"/>
        </w:rPr>
        <w:t xml:space="preserve">der anderen </w:t>
      </w:r>
      <w:r w:rsidR="0096256F">
        <w:rPr>
          <w:sz w:val="20"/>
          <w:szCs w:val="20"/>
        </w:rPr>
        <w:t>Vertragsp</w:t>
      </w:r>
      <w:r w:rsidRPr="00947421">
        <w:rPr>
          <w:sz w:val="20"/>
          <w:szCs w:val="20"/>
        </w:rPr>
        <w:t xml:space="preserve">artei ohne deren vorherige schriftliche Zustimmung, egal in welcher Form und unabhängig in welchem Medium, nutzen. Hiervon ausgenommen ist die </w:t>
      </w:r>
      <w:r w:rsidR="001A36AD">
        <w:rPr>
          <w:sz w:val="20"/>
          <w:szCs w:val="20"/>
        </w:rPr>
        <w:t xml:space="preserve">Nutzung zur </w:t>
      </w:r>
      <w:r w:rsidR="00F81437">
        <w:rPr>
          <w:sz w:val="20"/>
          <w:szCs w:val="20"/>
        </w:rPr>
        <w:t>Durchführung der vertragsgegenständlichen klinischen Prüfung</w:t>
      </w:r>
      <w:r w:rsidR="001A36AD">
        <w:rPr>
          <w:sz w:val="20"/>
          <w:szCs w:val="20"/>
        </w:rPr>
        <w:t xml:space="preserve"> und/oder zu regulatorischen Zwecken und/oder gegenüber Behörden und/oder</w:t>
      </w:r>
      <w:r w:rsidR="009E72B0">
        <w:rPr>
          <w:sz w:val="20"/>
          <w:szCs w:val="20"/>
        </w:rPr>
        <w:t xml:space="preserve"> </w:t>
      </w:r>
      <w:r w:rsidR="001A36AD">
        <w:rPr>
          <w:sz w:val="20"/>
          <w:szCs w:val="20"/>
        </w:rPr>
        <w:t xml:space="preserve">in </w:t>
      </w:r>
      <w:r w:rsidR="00190F4D">
        <w:rPr>
          <w:sz w:val="20"/>
          <w:szCs w:val="20"/>
        </w:rPr>
        <w:t>R</w:t>
      </w:r>
      <w:r w:rsidR="00190F4D" w:rsidRPr="00947421">
        <w:rPr>
          <w:sz w:val="20"/>
          <w:szCs w:val="20"/>
        </w:rPr>
        <w:t>egistern</w:t>
      </w:r>
      <w:r w:rsidR="00190F4D">
        <w:rPr>
          <w:sz w:val="20"/>
          <w:szCs w:val="20"/>
        </w:rPr>
        <w:t xml:space="preserve"> für klinische Prüfungen</w:t>
      </w:r>
      <w:r w:rsidR="00190F4D" w:rsidRPr="00947421">
        <w:rPr>
          <w:sz w:val="20"/>
          <w:szCs w:val="20"/>
        </w:rPr>
        <w:t xml:space="preserve"> </w:t>
      </w:r>
      <w:r w:rsidR="001A36AD" w:rsidRPr="00947421">
        <w:rPr>
          <w:sz w:val="20"/>
          <w:szCs w:val="20"/>
        </w:rPr>
        <w:t xml:space="preserve">(wie z.B. </w:t>
      </w:r>
      <w:hyperlink r:id="rId11" w:history="1">
        <w:r w:rsidR="001A36AD" w:rsidRPr="008C6326">
          <w:rPr>
            <w:rStyle w:val="Hyperlink"/>
            <w:sz w:val="20"/>
            <w:szCs w:val="20"/>
          </w:rPr>
          <w:t>www.clinicaltrials.gov</w:t>
        </w:r>
      </w:hyperlink>
      <w:r w:rsidR="001A36AD" w:rsidRPr="00947421">
        <w:rPr>
          <w:sz w:val="20"/>
          <w:szCs w:val="20"/>
        </w:rPr>
        <w:t>)</w:t>
      </w:r>
      <w:r w:rsidR="009E72B0">
        <w:rPr>
          <w:sz w:val="20"/>
          <w:szCs w:val="20"/>
        </w:rPr>
        <w:t xml:space="preserve"> </w:t>
      </w:r>
      <w:r w:rsidR="001A36AD">
        <w:rPr>
          <w:sz w:val="20"/>
          <w:szCs w:val="20"/>
        </w:rPr>
        <w:t xml:space="preserve">und/oder </w:t>
      </w:r>
      <w:r w:rsidRPr="00947421">
        <w:rPr>
          <w:sz w:val="20"/>
          <w:szCs w:val="20"/>
        </w:rPr>
        <w:t xml:space="preserve">im Rahmen der üblichen Autorennennung in wissenschaftlichen Fachzeitschriften. </w:t>
      </w:r>
      <w:r w:rsidR="00F81437">
        <w:rPr>
          <w:sz w:val="20"/>
          <w:szCs w:val="20"/>
        </w:rPr>
        <w:t xml:space="preserve">Von den vorstehenden Regelungen bleiben die Regelungen zur Geheimhaltung und Veröffentlichung unberührt.   </w:t>
      </w:r>
    </w:p>
    <w:p w14:paraId="36085EB5" w14:textId="77777777" w:rsidR="00C46B3F" w:rsidRDefault="00C46B3F" w:rsidP="00C70646">
      <w:pPr>
        <w:jc w:val="both"/>
        <w:rPr>
          <w:sz w:val="20"/>
          <w:szCs w:val="20"/>
        </w:rPr>
      </w:pPr>
    </w:p>
    <w:p w14:paraId="7A262283" w14:textId="5D659EDF" w:rsidR="00947421" w:rsidRDefault="00947421" w:rsidP="00C70646">
      <w:pPr>
        <w:jc w:val="both"/>
        <w:rPr>
          <w:sz w:val="20"/>
          <w:szCs w:val="20"/>
        </w:rPr>
      </w:pPr>
    </w:p>
    <w:p w14:paraId="7711F909" w14:textId="77777777" w:rsidR="00B050E9" w:rsidRDefault="00B050E9">
      <w:pPr>
        <w:spacing w:after="160" w:line="259" w:lineRule="auto"/>
        <w:rPr>
          <w:b/>
          <w:sz w:val="20"/>
          <w:szCs w:val="20"/>
        </w:rPr>
      </w:pPr>
      <w:bookmarkStart w:id="1" w:name="_Hlk147310786"/>
      <w:r>
        <w:rPr>
          <w:b/>
          <w:sz w:val="20"/>
          <w:szCs w:val="20"/>
        </w:rPr>
        <w:br w:type="page"/>
      </w:r>
    </w:p>
    <w:p w14:paraId="736FF1C4" w14:textId="06FEC681" w:rsidR="00B050E9" w:rsidRPr="00392734" w:rsidRDefault="00B050E9" w:rsidP="00B050E9">
      <w:pPr>
        <w:rPr>
          <w:b/>
          <w:sz w:val="20"/>
          <w:szCs w:val="20"/>
        </w:rPr>
      </w:pPr>
      <w:r>
        <w:rPr>
          <w:b/>
          <w:sz w:val="20"/>
          <w:szCs w:val="20"/>
        </w:rPr>
        <w:lastRenderedPageBreak/>
        <w:t>4</w:t>
      </w:r>
      <w:r w:rsidRPr="00392734">
        <w:rPr>
          <w:b/>
          <w:sz w:val="20"/>
          <w:szCs w:val="20"/>
        </w:rPr>
        <w:t>.</w:t>
      </w:r>
      <w:r w:rsidRPr="00392734">
        <w:rPr>
          <w:b/>
          <w:sz w:val="20"/>
          <w:szCs w:val="20"/>
        </w:rPr>
        <w:tab/>
        <w:t>Rechte an Ergebnissen</w:t>
      </w:r>
    </w:p>
    <w:p w14:paraId="289ADAB9" w14:textId="77777777" w:rsidR="00B050E9" w:rsidRPr="00392734" w:rsidRDefault="00B050E9" w:rsidP="00B050E9">
      <w:pPr>
        <w:rPr>
          <w:b/>
          <w:sz w:val="20"/>
          <w:szCs w:val="20"/>
        </w:rPr>
      </w:pPr>
    </w:p>
    <w:p w14:paraId="57C5C20C" w14:textId="10A18B69" w:rsidR="00B050E9" w:rsidRPr="00392734" w:rsidRDefault="00B050E9" w:rsidP="00B050E9">
      <w:pPr>
        <w:jc w:val="both"/>
        <w:rPr>
          <w:sz w:val="20"/>
          <w:szCs w:val="20"/>
        </w:rPr>
      </w:pPr>
      <w:r w:rsidRPr="00392734">
        <w:rPr>
          <w:sz w:val="20"/>
          <w:szCs w:val="20"/>
        </w:rPr>
        <w:t xml:space="preserve">Die Parteien sind sich einig, dass der Vertragsgegenstand in der Durchführung einer klinischen Prüfung besteht, d.h. in der praktischen Erprobung einer Prüfmedikation, die gegebenenfalls bereits Gegenstand von Schutzrechten ist. Vertragsgegenstand ist nicht die Entwicklung bzw. Weiterentwicklung der Prüfmedikation. Die Parteien gehen daher nicht davon aus, dass es im Rahmen der Leistungsbringung durch das Prüfzentrum zu Erfindungen im Zusammenhang mit der Prüfmedikation kommt. Sollte es dennoch zu </w:t>
      </w:r>
      <w:r w:rsidRPr="00392734">
        <w:rPr>
          <w:sz w:val="20"/>
          <w:szCs w:val="20"/>
        </w:rPr>
        <w:br/>
        <w:t xml:space="preserve">(Mit-)Erfindungen des Prüfzentrums im Zusammenhang mit der Prüfmedikation kommen, möchten die Parteien dem </w:t>
      </w:r>
      <w:r w:rsidR="00FE7E99">
        <w:rPr>
          <w:sz w:val="20"/>
          <w:szCs w:val="20"/>
        </w:rPr>
        <w:t>Auftraggeber</w:t>
      </w:r>
      <w:r w:rsidRPr="00392734">
        <w:rPr>
          <w:sz w:val="20"/>
          <w:szCs w:val="20"/>
        </w:rPr>
        <w:t xml:space="preserve"> einen möglichst umfassenden Zugriff auf solche Erfindungen gegen im Einzelfall angemessene Vergütung des Prüfzentrums sichern.</w:t>
      </w:r>
    </w:p>
    <w:p w14:paraId="58B23434" w14:textId="77777777" w:rsidR="00B050E9" w:rsidRPr="00392734" w:rsidRDefault="00B050E9" w:rsidP="00B050E9">
      <w:pPr>
        <w:rPr>
          <w:sz w:val="20"/>
          <w:szCs w:val="20"/>
        </w:rPr>
      </w:pPr>
    </w:p>
    <w:p w14:paraId="478993AB" w14:textId="70874501" w:rsidR="00B050E9" w:rsidRPr="0091456B" w:rsidRDefault="00B050E9" w:rsidP="00B050E9">
      <w:pPr>
        <w:rPr>
          <w:sz w:val="20"/>
          <w:szCs w:val="20"/>
          <w:u w:val="single"/>
        </w:rPr>
      </w:pPr>
      <w:r w:rsidRPr="0091456B">
        <w:rPr>
          <w:sz w:val="20"/>
          <w:szCs w:val="20"/>
          <w:u w:val="single"/>
        </w:rPr>
        <w:t>4.1</w:t>
      </w:r>
      <w:r w:rsidRPr="0091456B">
        <w:rPr>
          <w:sz w:val="20"/>
          <w:szCs w:val="20"/>
          <w:u w:val="single"/>
        </w:rPr>
        <w:tab/>
        <w:t>Rechte an Ergebnissen</w:t>
      </w:r>
      <w:r w:rsidR="0091456B" w:rsidRPr="0091456B">
        <w:rPr>
          <w:sz w:val="20"/>
          <w:szCs w:val="20"/>
          <w:u w:val="single"/>
        </w:rPr>
        <w:t>.</w:t>
      </w:r>
    </w:p>
    <w:p w14:paraId="03F2ECBA" w14:textId="77777777" w:rsidR="00B050E9" w:rsidRPr="00392734" w:rsidRDefault="00B050E9" w:rsidP="00B050E9">
      <w:pPr>
        <w:rPr>
          <w:sz w:val="20"/>
          <w:szCs w:val="20"/>
        </w:rPr>
      </w:pPr>
    </w:p>
    <w:p w14:paraId="19705ABD" w14:textId="70DBACF1" w:rsidR="00B050E9" w:rsidRPr="00392734" w:rsidRDefault="00B050E9" w:rsidP="00B050E9">
      <w:pPr>
        <w:jc w:val="both"/>
        <w:rPr>
          <w:sz w:val="20"/>
          <w:szCs w:val="20"/>
        </w:rPr>
      </w:pPr>
      <w:r w:rsidRPr="00392734">
        <w:rPr>
          <w:sz w:val="20"/>
          <w:szCs w:val="20"/>
        </w:rPr>
        <w:t xml:space="preserve">Die Rechte an allen Ergebnissen, gleich welcher Art oder Form, ob körperlich oder unkörperlich und unabhängig davon, ob schutzrechtsfähig oder nicht (einschließlich, aber nicht beschränkt auf Informationen, Daten, </w:t>
      </w:r>
      <w:proofErr w:type="spellStart"/>
      <w:r w:rsidRPr="00392734">
        <w:rPr>
          <w:sz w:val="20"/>
          <w:szCs w:val="20"/>
        </w:rPr>
        <w:t>Know-How</w:t>
      </w:r>
      <w:proofErr w:type="spellEnd"/>
      <w:r w:rsidRPr="00392734">
        <w:rPr>
          <w:sz w:val="20"/>
          <w:szCs w:val="20"/>
        </w:rPr>
        <w:t xml:space="preserve">, Aufnahmen, Proben, Urheberrechte und Erfindungen), die im Zusammenhang mit der Durchführung der klinischen Prüfung erstellt werden, oder dabei auf andere Weise entstehen (nachstehend „Ergebnisse“ genannt), stehen nach Maßgabe der nachfolgenden Regelungen ausschließlich dem </w:t>
      </w:r>
      <w:r w:rsidR="00FE7E99">
        <w:rPr>
          <w:sz w:val="20"/>
          <w:szCs w:val="20"/>
        </w:rPr>
        <w:t>Auftraggeber</w:t>
      </w:r>
      <w:r w:rsidRPr="00392734">
        <w:rPr>
          <w:sz w:val="20"/>
          <w:szCs w:val="20"/>
        </w:rPr>
        <w:t xml:space="preserve"> zu, soweit gesetzlich erlaubt. Um Zweifel auszuschließen, wird klargestellt, dass Krankenakten Eigentum des Prüfzentrums bleiben, wobei dem </w:t>
      </w:r>
      <w:r w:rsidR="00FE7E99">
        <w:rPr>
          <w:sz w:val="20"/>
          <w:szCs w:val="20"/>
        </w:rPr>
        <w:t>Auftraggeber</w:t>
      </w:r>
      <w:r w:rsidRPr="00392734">
        <w:rPr>
          <w:sz w:val="20"/>
          <w:szCs w:val="20"/>
        </w:rPr>
        <w:t xml:space="preserve"> gestattet wird, diese entsprechend den Bedingungen des vorliegenden Vertrages</w:t>
      </w:r>
      <w:r w:rsidRPr="00392734">
        <w:t xml:space="preserve"> </w:t>
      </w:r>
      <w:r w:rsidRPr="00392734">
        <w:rPr>
          <w:sz w:val="20"/>
          <w:szCs w:val="20"/>
        </w:rPr>
        <w:t>zu nutzen.</w:t>
      </w:r>
    </w:p>
    <w:bookmarkEnd w:id="1"/>
    <w:p w14:paraId="0655BCDC" w14:textId="77777777" w:rsidR="00B050E9" w:rsidRDefault="00B050E9" w:rsidP="00B050E9">
      <w:pPr>
        <w:rPr>
          <w:sz w:val="20"/>
          <w:szCs w:val="20"/>
        </w:rPr>
      </w:pPr>
    </w:p>
    <w:p w14:paraId="4C850677" w14:textId="106F2A88" w:rsidR="00B050E9" w:rsidRPr="0091456B" w:rsidRDefault="00B050E9" w:rsidP="00B050E9">
      <w:pPr>
        <w:rPr>
          <w:sz w:val="20"/>
          <w:szCs w:val="20"/>
          <w:u w:val="single"/>
        </w:rPr>
      </w:pPr>
      <w:bookmarkStart w:id="2" w:name="_Hlk147310963"/>
      <w:bookmarkStart w:id="3" w:name="_Hlk147310935"/>
      <w:r w:rsidRPr="0091456B">
        <w:rPr>
          <w:sz w:val="20"/>
          <w:szCs w:val="20"/>
          <w:u w:val="single"/>
        </w:rPr>
        <w:t>4.2</w:t>
      </w:r>
      <w:r w:rsidRPr="0091456B">
        <w:rPr>
          <w:sz w:val="20"/>
          <w:szCs w:val="20"/>
          <w:u w:val="single"/>
        </w:rPr>
        <w:tab/>
        <w:t>Erfindungen</w:t>
      </w:r>
      <w:r w:rsidRPr="0091456B">
        <w:rPr>
          <w:sz w:val="20"/>
          <w:szCs w:val="20"/>
          <w:u w:val="single"/>
          <w:vertAlign w:val="superscript"/>
        </w:rPr>
        <w:footnoteReference w:id="2"/>
      </w:r>
      <w:r w:rsidR="0091456B" w:rsidRPr="0091456B">
        <w:rPr>
          <w:sz w:val="20"/>
          <w:szCs w:val="20"/>
          <w:u w:val="single"/>
        </w:rPr>
        <w:t>.</w:t>
      </w:r>
    </w:p>
    <w:p w14:paraId="2655E90F" w14:textId="77777777" w:rsidR="00B050E9" w:rsidRPr="00392734" w:rsidRDefault="00B050E9" w:rsidP="00B050E9">
      <w:pPr>
        <w:jc w:val="both"/>
        <w:rPr>
          <w:sz w:val="20"/>
          <w:szCs w:val="20"/>
        </w:rPr>
      </w:pPr>
    </w:p>
    <w:p w14:paraId="48DAB885" w14:textId="21A5FA27" w:rsidR="00B050E9" w:rsidRPr="00392734" w:rsidRDefault="00B050E9" w:rsidP="00B050E9">
      <w:pPr>
        <w:ind w:left="709" w:hanging="709"/>
        <w:jc w:val="both"/>
        <w:rPr>
          <w:sz w:val="20"/>
          <w:szCs w:val="20"/>
        </w:rPr>
      </w:pPr>
      <w:r>
        <w:rPr>
          <w:sz w:val="20"/>
          <w:szCs w:val="20"/>
        </w:rPr>
        <w:t>4</w:t>
      </w:r>
      <w:r w:rsidRPr="00392734">
        <w:rPr>
          <w:sz w:val="20"/>
          <w:szCs w:val="20"/>
        </w:rPr>
        <w:t>.2.1.</w:t>
      </w:r>
      <w:r w:rsidRPr="00392734">
        <w:rPr>
          <w:sz w:val="20"/>
          <w:szCs w:val="20"/>
        </w:rPr>
        <w:tab/>
        <w:t>Sofern im Rahmen oder im Zusammenhang mit der vertragsgemäßen Abarbeitung des Studienprogrammes</w:t>
      </w:r>
      <w:r w:rsidRPr="00392734" w:rsidDel="007E3214">
        <w:rPr>
          <w:sz w:val="20"/>
          <w:szCs w:val="20"/>
        </w:rPr>
        <w:t xml:space="preserve"> </w:t>
      </w:r>
      <w:r w:rsidRPr="00392734">
        <w:rPr>
          <w:sz w:val="20"/>
          <w:szCs w:val="20"/>
        </w:rPr>
        <w:t xml:space="preserve">von den seitens des Prüfzentrums eingesetzten Personen Überlegungen angestellt werden, aus denen schutzrechtsfähige (Mit-)Erfindungen entstehen, räumt das Prüfzentrum dem </w:t>
      </w:r>
      <w:r w:rsidR="00FE7E99">
        <w:rPr>
          <w:sz w:val="20"/>
          <w:szCs w:val="20"/>
        </w:rPr>
        <w:t>Auftraggeber</w:t>
      </w:r>
      <w:r w:rsidRPr="00392734">
        <w:rPr>
          <w:sz w:val="20"/>
          <w:szCs w:val="20"/>
        </w:rPr>
        <w:t xml:space="preserve"> mit Abschluss des Vertrages eine exklusive Option ein, nach Maßgabe der nachfolgenden Absätze das Recht auf die Erfindungen durch Übertragung (Übertragungsoption) zu erwerben. Der </w:t>
      </w:r>
      <w:r w:rsidR="00FE7E99">
        <w:rPr>
          <w:sz w:val="20"/>
          <w:szCs w:val="20"/>
        </w:rPr>
        <w:t>Auftraggeber</w:t>
      </w:r>
      <w:r w:rsidRPr="00392734">
        <w:rPr>
          <w:sz w:val="20"/>
          <w:szCs w:val="20"/>
        </w:rPr>
        <w:t xml:space="preserve"> kann diese Option durch Erklärung in Text- oder Schriftform gegenüber dem Prüfzentrum innerhalb eines Zeitraums von </w:t>
      </w:r>
      <w:r w:rsidRPr="00C94861">
        <w:rPr>
          <w:sz w:val="20"/>
          <w:szCs w:val="20"/>
        </w:rPr>
        <w:t xml:space="preserve">zwei (2) [optional: </w:t>
      </w:r>
      <w:r w:rsidRPr="00C94861">
        <w:rPr>
          <w:i/>
          <w:iCs/>
          <w:sz w:val="20"/>
          <w:szCs w:val="20"/>
        </w:rPr>
        <w:t>drei (3)</w:t>
      </w:r>
      <w:r w:rsidRPr="00C94861">
        <w:rPr>
          <w:sz w:val="20"/>
          <w:szCs w:val="20"/>
        </w:rPr>
        <w:t>]</w:t>
      </w:r>
      <w:r w:rsidRPr="00392734">
        <w:rPr>
          <w:sz w:val="20"/>
          <w:szCs w:val="20"/>
        </w:rPr>
        <w:t xml:space="preserve"> Monaten nach Eingang einer Mitteilung über einer solche Erfindung an den </w:t>
      </w:r>
      <w:r w:rsidR="00FE7E99">
        <w:rPr>
          <w:sz w:val="20"/>
          <w:szCs w:val="20"/>
        </w:rPr>
        <w:t>Auftraggeber</w:t>
      </w:r>
      <w:r w:rsidRPr="00392734">
        <w:rPr>
          <w:sz w:val="20"/>
          <w:szCs w:val="20"/>
        </w:rPr>
        <w:t xml:space="preserve"> ausüben. Unter der aufschiebenden Bedingung der fristgemäßen Ausübung dieser Option durch den </w:t>
      </w:r>
      <w:r w:rsidR="00FE7E99">
        <w:rPr>
          <w:sz w:val="20"/>
          <w:szCs w:val="20"/>
        </w:rPr>
        <w:t>Auftraggeber</w:t>
      </w:r>
      <w:r w:rsidRPr="00392734">
        <w:rPr>
          <w:sz w:val="20"/>
          <w:szCs w:val="20"/>
        </w:rPr>
        <w:t xml:space="preserve">, überträgt und tritt das Prüfzentrum - soweit rechtlich möglich – seine jeweiligen Rechte an den Erfindungen bereits jetzt vollumfänglich an den </w:t>
      </w:r>
      <w:r w:rsidR="00FE7E99">
        <w:rPr>
          <w:sz w:val="20"/>
          <w:szCs w:val="20"/>
        </w:rPr>
        <w:t>Auftraggeber</w:t>
      </w:r>
      <w:r w:rsidRPr="00392734">
        <w:rPr>
          <w:sz w:val="20"/>
          <w:szCs w:val="20"/>
        </w:rPr>
        <w:t xml:space="preserve"> ab, welcher diese Abtretung annimmt. </w:t>
      </w:r>
    </w:p>
    <w:p w14:paraId="09E59884" w14:textId="77777777" w:rsidR="00B050E9" w:rsidRPr="00392734" w:rsidRDefault="00B050E9" w:rsidP="00B050E9">
      <w:pPr>
        <w:ind w:left="709" w:hanging="709"/>
        <w:jc w:val="both"/>
        <w:rPr>
          <w:sz w:val="20"/>
          <w:szCs w:val="20"/>
        </w:rPr>
      </w:pPr>
    </w:p>
    <w:p w14:paraId="4818BD65" w14:textId="176DCB1F" w:rsidR="00B050E9" w:rsidRPr="00392734" w:rsidRDefault="00B050E9" w:rsidP="00B050E9">
      <w:pPr>
        <w:ind w:left="709"/>
        <w:jc w:val="both"/>
        <w:rPr>
          <w:sz w:val="20"/>
          <w:szCs w:val="20"/>
        </w:rPr>
      </w:pPr>
      <w:r w:rsidRPr="00392734">
        <w:rPr>
          <w:sz w:val="20"/>
          <w:szCs w:val="20"/>
        </w:rPr>
        <w:lastRenderedPageBreak/>
        <w:t>Das Prüfzentrum kann, soweit</w:t>
      </w:r>
      <w:r w:rsidR="00FF536A">
        <w:rPr>
          <w:sz w:val="20"/>
          <w:szCs w:val="20"/>
        </w:rPr>
        <w:t xml:space="preserve"> es</w:t>
      </w:r>
      <w:r w:rsidRPr="00392734">
        <w:rPr>
          <w:sz w:val="20"/>
          <w:szCs w:val="20"/>
        </w:rPr>
        <w:t xml:space="preserve"> nach Konsultation in Text- oder Schriftform und in enger Abstimmung mit dem </w:t>
      </w:r>
      <w:r w:rsidR="00FE7E99">
        <w:rPr>
          <w:sz w:val="20"/>
          <w:szCs w:val="20"/>
        </w:rPr>
        <w:t>Auftraggeber</w:t>
      </w:r>
      <w:r w:rsidRPr="00392734">
        <w:rPr>
          <w:sz w:val="20"/>
          <w:szCs w:val="20"/>
        </w:rPr>
        <w:t xml:space="preserve"> zur Sicherung der Erfindung erforderlich erscheint, bereits vor Ablauf der vorstehenden Ausübungsfrist im eigenen Namen und auf eigene Kosten eine prioritätsbegründende Patentanmeldung vornehmen oder vorbereiten. Dies kann erforderlich erscheinen, wenn z. B. durch eine mögliche Offenlegung die Anmeldung gefährdet sein könnte und ersichtlich wird, dass die Anmeldung möglicherweise nicht rechtzeitig zum Abschluss gebracht werden kann. In diesem Fall überträgt das Prüfzentrum nach der fristgemäßen Ausübung der Option durch den </w:t>
      </w:r>
      <w:r w:rsidR="00FE7E99">
        <w:rPr>
          <w:sz w:val="20"/>
          <w:szCs w:val="20"/>
        </w:rPr>
        <w:t>Auftraggeber</w:t>
      </w:r>
      <w:r w:rsidRPr="00392734">
        <w:rPr>
          <w:sz w:val="20"/>
          <w:szCs w:val="20"/>
        </w:rPr>
        <w:t xml:space="preserve"> auch alle Rechte an einer etwaigen Patentanmeldung und der </w:t>
      </w:r>
      <w:r w:rsidR="00FE7E99">
        <w:rPr>
          <w:sz w:val="20"/>
          <w:szCs w:val="20"/>
        </w:rPr>
        <w:t>Auftraggeber</w:t>
      </w:r>
      <w:r w:rsidRPr="00392734">
        <w:rPr>
          <w:sz w:val="20"/>
          <w:szCs w:val="20"/>
        </w:rPr>
        <w:t xml:space="preserve"> erstattet die dem Prüfzentrum für die Anmeldung bzw. die Vorbereitung einer Anmeldung angefallenen Kosten.</w:t>
      </w:r>
    </w:p>
    <w:p w14:paraId="7826A36E" w14:textId="77777777" w:rsidR="00B050E9" w:rsidRPr="00392734" w:rsidRDefault="00B050E9" w:rsidP="00B050E9">
      <w:pPr>
        <w:jc w:val="both"/>
        <w:rPr>
          <w:sz w:val="20"/>
          <w:szCs w:val="20"/>
        </w:rPr>
      </w:pPr>
    </w:p>
    <w:p w14:paraId="7D58A7B2" w14:textId="766825DF" w:rsidR="00B050E9" w:rsidRPr="00392734" w:rsidRDefault="00B050E9" w:rsidP="00B050E9">
      <w:pPr>
        <w:ind w:left="709" w:hanging="709"/>
        <w:jc w:val="both"/>
        <w:rPr>
          <w:sz w:val="20"/>
          <w:szCs w:val="20"/>
        </w:rPr>
      </w:pPr>
      <w:r>
        <w:rPr>
          <w:sz w:val="20"/>
          <w:szCs w:val="20"/>
        </w:rPr>
        <w:t>4</w:t>
      </w:r>
      <w:r w:rsidRPr="00392734">
        <w:rPr>
          <w:sz w:val="20"/>
          <w:szCs w:val="20"/>
        </w:rPr>
        <w:t>.2.2</w:t>
      </w:r>
      <w:r>
        <w:rPr>
          <w:sz w:val="20"/>
          <w:szCs w:val="20"/>
        </w:rPr>
        <w:tab/>
      </w:r>
      <w:r w:rsidRPr="00392734">
        <w:rPr>
          <w:sz w:val="20"/>
          <w:szCs w:val="20"/>
        </w:rPr>
        <w:t xml:space="preserve">Als Gegenleistung für die Übertragung von Rechten an Erfindungen nach Ziffer </w:t>
      </w:r>
      <w:r>
        <w:rPr>
          <w:sz w:val="20"/>
          <w:szCs w:val="20"/>
        </w:rPr>
        <w:t>4</w:t>
      </w:r>
      <w:r w:rsidRPr="00392734">
        <w:rPr>
          <w:sz w:val="20"/>
          <w:szCs w:val="20"/>
        </w:rPr>
        <w:t xml:space="preserve">.2.1, die auf Überlegungen beruhen, die über die vertragsgemäße Abarbeitung des Studienprogrammes hinausgehen, schuldet der </w:t>
      </w:r>
      <w:r w:rsidR="00FE7E99">
        <w:rPr>
          <w:sz w:val="20"/>
          <w:szCs w:val="20"/>
        </w:rPr>
        <w:t>Auftraggeber</w:t>
      </w:r>
      <w:r w:rsidRPr="00392734">
        <w:rPr>
          <w:sz w:val="20"/>
          <w:szCs w:val="20"/>
        </w:rPr>
        <w:t xml:space="preserve"> dem Prüfzentrum mit Ausübung des Optionsrechts eine Vergütung zu marktüblichen Bedingungen, welche die Vertragspartner nach Maßgabe der nachfolgenden Vorgaben mit separater Vereinbarung oder in diesem Vertrag gemeinsam festsetzen werden. </w:t>
      </w:r>
    </w:p>
    <w:p w14:paraId="4D2657DE" w14:textId="77777777" w:rsidR="00B050E9" w:rsidRPr="00392734" w:rsidRDefault="00B050E9" w:rsidP="00B050E9">
      <w:pPr>
        <w:ind w:left="851" w:hanging="851"/>
        <w:jc w:val="both"/>
        <w:rPr>
          <w:sz w:val="20"/>
          <w:szCs w:val="20"/>
        </w:rPr>
      </w:pPr>
    </w:p>
    <w:p w14:paraId="5305B165" w14:textId="34547B4C" w:rsidR="00B050E9" w:rsidRPr="00392734" w:rsidRDefault="00B050E9" w:rsidP="00B050E9">
      <w:pPr>
        <w:ind w:left="709" w:hanging="709"/>
        <w:jc w:val="both"/>
        <w:rPr>
          <w:sz w:val="20"/>
          <w:szCs w:val="20"/>
        </w:rPr>
      </w:pPr>
      <w:r>
        <w:rPr>
          <w:sz w:val="20"/>
          <w:szCs w:val="20"/>
        </w:rPr>
        <w:t>4</w:t>
      </w:r>
      <w:r w:rsidRPr="00392734">
        <w:rPr>
          <w:sz w:val="20"/>
          <w:szCs w:val="20"/>
        </w:rPr>
        <w:t>.2.3</w:t>
      </w:r>
      <w:r w:rsidRPr="00392734">
        <w:rPr>
          <w:sz w:val="20"/>
          <w:szCs w:val="20"/>
        </w:rPr>
        <w:tab/>
        <w:t>Bei der Bemessung des angemessenen und marktüblichen Entgeltes sind, soweit nicht etwas anderes vereinbart wird, die Grundsätze der Berechnung von Arbeitnehmererfindervergütungen im privaten Dienst</w:t>
      </w:r>
      <w:r w:rsidRPr="00392734">
        <w:rPr>
          <w:sz w:val="20"/>
          <w:szCs w:val="20"/>
          <w:vertAlign w:val="superscript"/>
        </w:rPr>
        <w:footnoteReference w:id="3"/>
      </w:r>
      <w:r w:rsidRPr="00392734">
        <w:rPr>
          <w:sz w:val="20"/>
          <w:szCs w:val="20"/>
        </w:rPr>
        <w:t xml:space="preserve"> mit der Maßgabe entsprechend anzuwenden, dass die anerkannten Faktoren zur Berechnung der Arbeitnehmererfindervergütung wertungsmäßig an die Interessenlage im </w:t>
      </w:r>
      <w:bookmarkEnd w:id="2"/>
      <w:r w:rsidRPr="00392734">
        <w:rPr>
          <w:sz w:val="20"/>
          <w:szCs w:val="20"/>
        </w:rPr>
        <w:t xml:space="preserve">vorliegenden Auftragsverhältnis anzupassen sind. Die Vergütung kann im Einvernehmen in Form einer Einmalzahlung bei Ausübung der Option oder als Lizenz auf Einnahmen erfolgen. </w:t>
      </w:r>
    </w:p>
    <w:p w14:paraId="1C73500D" w14:textId="77777777" w:rsidR="00B050E9" w:rsidRPr="00392734" w:rsidRDefault="00B050E9" w:rsidP="00B050E9">
      <w:pPr>
        <w:ind w:left="709" w:hanging="709"/>
        <w:jc w:val="both"/>
        <w:rPr>
          <w:sz w:val="20"/>
          <w:szCs w:val="20"/>
        </w:rPr>
      </w:pPr>
    </w:p>
    <w:p w14:paraId="0ED2CCD4" w14:textId="77777777" w:rsidR="00B050E9" w:rsidRPr="00392734" w:rsidRDefault="00B050E9" w:rsidP="00B050E9">
      <w:pPr>
        <w:ind w:left="709"/>
        <w:jc w:val="both"/>
        <w:rPr>
          <w:sz w:val="20"/>
          <w:szCs w:val="20"/>
        </w:rPr>
      </w:pPr>
      <w:r w:rsidRPr="00392734">
        <w:rPr>
          <w:sz w:val="20"/>
          <w:szCs w:val="20"/>
        </w:rPr>
        <w:t>Bei der Berechnung nach Lizenzanalogie sind Anteilsfaktor, Miterfinderanteil der Mitarbeiter des Prüfzentrums und der Erfindungswert und etwaige Höchstbelastungsgrenzen zu berücksichtigen. Im Falle einer Einmalzahlung sind weiterhin die voraussichtliche Nutzungsdauer des Patentes, sowie gegebenenfalls ein üblicher Risikoabschlag im Falle noch nicht erteilter Patentrechte einzubeziehen.</w:t>
      </w:r>
    </w:p>
    <w:p w14:paraId="4808AD25" w14:textId="77777777" w:rsidR="00B050E9" w:rsidRPr="00392734" w:rsidRDefault="00B050E9" w:rsidP="00B050E9">
      <w:pPr>
        <w:ind w:left="851"/>
        <w:jc w:val="both"/>
        <w:rPr>
          <w:sz w:val="20"/>
          <w:szCs w:val="20"/>
        </w:rPr>
      </w:pPr>
    </w:p>
    <w:p w14:paraId="0FE72CE6" w14:textId="64CF61A5" w:rsidR="00B050E9" w:rsidRPr="00B95166" w:rsidRDefault="00B050E9" w:rsidP="00B050E9">
      <w:pPr>
        <w:ind w:left="709"/>
        <w:rPr>
          <w:i/>
          <w:iCs/>
          <w:sz w:val="18"/>
          <w:szCs w:val="18"/>
        </w:rPr>
      </w:pPr>
      <w:r w:rsidRPr="00B95166">
        <w:rPr>
          <w:i/>
          <w:iCs/>
          <w:sz w:val="18"/>
          <w:szCs w:val="18"/>
          <w:highlight w:val="lightGray"/>
          <w:u w:val="single"/>
        </w:rPr>
        <w:t>Hinweis</w:t>
      </w:r>
      <w:r w:rsidRPr="00B95166">
        <w:rPr>
          <w:i/>
          <w:iCs/>
          <w:sz w:val="18"/>
          <w:szCs w:val="18"/>
          <w:highlight w:val="lightGray"/>
        </w:rPr>
        <w:t>: Die Parteien können abweichend vom vorhergehenden Absatz, d</w:t>
      </w:r>
      <w:r w:rsidR="00CE17A4">
        <w:rPr>
          <w:i/>
          <w:iCs/>
          <w:sz w:val="18"/>
          <w:szCs w:val="18"/>
          <w:highlight w:val="lightGray"/>
        </w:rPr>
        <w:t>er</w:t>
      </w:r>
      <w:r w:rsidRPr="00B95166">
        <w:rPr>
          <w:i/>
          <w:iCs/>
          <w:sz w:val="18"/>
          <w:szCs w:val="18"/>
          <w:highlight w:val="lightGray"/>
        </w:rPr>
        <w:t xml:space="preserve"> im Sinne eines zügigen Vertragsabschlusses eine Regelung über die Art und Höhe der Vergütung zum späteren Zeitpunkt der möglichen Erfindung vorsieht, weiterhin alternative Regelungen, wie zum Beispiel eine Einmalzahlung, zu einem früheren Zeitpunkt (Vertragsabschluss über die Durchführung der klinischen Prüfung) oder zum Zeitpunkt der Übertragung der jeweiligen Erfindung vereinbaren.</w:t>
      </w:r>
      <w:r w:rsidRPr="00B95166">
        <w:rPr>
          <w:i/>
          <w:iCs/>
          <w:sz w:val="18"/>
          <w:szCs w:val="18"/>
          <w:highlight w:val="lightGray"/>
          <w:vertAlign w:val="superscript"/>
        </w:rPr>
        <w:footnoteReference w:id="4"/>
      </w:r>
    </w:p>
    <w:p w14:paraId="32B23FD5" w14:textId="77777777" w:rsidR="00B050E9" w:rsidRDefault="00B050E9" w:rsidP="00B050E9">
      <w:pPr>
        <w:rPr>
          <w:i/>
          <w:iCs/>
          <w:sz w:val="20"/>
          <w:szCs w:val="20"/>
          <w:u w:val="single"/>
        </w:rPr>
      </w:pPr>
    </w:p>
    <w:p w14:paraId="7B47A4C5" w14:textId="28DE3071" w:rsidR="00B050E9" w:rsidRPr="00392734" w:rsidRDefault="00B050E9" w:rsidP="00B050E9">
      <w:pPr>
        <w:ind w:left="709" w:hanging="851"/>
        <w:jc w:val="both"/>
        <w:rPr>
          <w:sz w:val="20"/>
          <w:szCs w:val="20"/>
        </w:rPr>
      </w:pPr>
      <w:r>
        <w:rPr>
          <w:sz w:val="20"/>
          <w:szCs w:val="20"/>
        </w:rPr>
        <w:t>4</w:t>
      </w:r>
      <w:r w:rsidRPr="00392734">
        <w:rPr>
          <w:sz w:val="20"/>
          <w:szCs w:val="20"/>
        </w:rPr>
        <w:t>.2.4</w:t>
      </w:r>
      <w:r w:rsidRPr="00392734">
        <w:rPr>
          <w:sz w:val="20"/>
          <w:szCs w:val="20"/>
        </w:rPr>
        <w:tab/>
        <w:t xml:space="preserve">Das Prüfzentrum stellt im Rahmen des rechtlich Möglichen sicher, den </w:t>
      </w:r>
      <w:r w:rsidR="00FE7E99">
        <w:rPr>
          <w:sz w:val="20"/>
          <w:szCs w:val="20"/>
        </w:rPr>
        <w:t>Auftraggeber</w:t>
      </w:r>
      <w:r w:rsidRPr="00392734">
        <w:rPr>
          <w:sz w:val="20"/>
          <w:szCs w:val="20"/>
        </w:rPr>
        <w:t xml:space="preserve"> unverzüglich über bei ihm eingehende Erfindungsmeldungen zu Erfindungen nach Ziffer </w:t>
      </w:r>
      <w:r>
        <w:rPr>
          <w:sz w:val="20"/>
          <w:szCs w:val="20"/>
        </w:rPr>
        <w:t>4</w:t>
      </w:r>
      <w:r w:rsidRPr="00392734">
        <w:rPr>
          <w:sz w:val="20"/>
          <w:szCs w:val="20"/>
        </w:rPr>
        <w:t xml:space="preserve">.2.1 zu informieren. Um es dem </w:t>
      </w:r>
      <w:r w:rsidR="00FE7E99">
        <w:rPr>
          <w:sz w:val="20"/>
          <w:szCs w:val="20"/>
        </w:rPr>
        <w:t>Auftraggeber</w:t>
      </w:r>
      <w:r w:rsidRPr="00392734">
        <w:rPr>
          <w:sz w:val="20"/>
          <w:szCs w:val="20"/>
        </w:rPr>
        <w:t xml:space="preserve"> zu ermöglichen, sein Optionsrecht auszuüben, wird das Prüfzentrum auf spezifische Anfrage durch den </w:t>
      </w:r>
      <w:r w:rsidR="00FE7E99">
        <w:rPr>
          <w:sz w:val="20"/>
          <w:szCs w:val="20"/>
        </w:rPr>
        <w:t>Auftraggeber</w:t>
      </w:r>
      <w:r w:rsidRPr="00392734">
        <w:rPr>
          <w:sz w:val="20"/>
          <w:szCs w:val="20"/>
        </w:rPr>
        <w:t xml:space="preserve"> weiterhin alle Daten und sonstigen Informationen zur Verfügung </w:t>
      </w:r>
      <w:r w:rsidRPr="00392734">
        <w:rPr>
          <w:sz w:val="20"/>
          <w:szCs w:val="20"/>
        </w:rPr>
        <w:lastRenderedPageBreak/>
        <w:t xml:space="preserve">stellen, die der </w:t>
      </w:r>
      <w:r w:rsidR="00FE7E99">
        <w:rPr>
          <w:sz w:val="20"/>
          <w:szCs w:val="20"/>
        </w:rPr>
        <w:t>Auftraggeber</w:t>
      </w:r>
      <w:r w:rsidRPr="00392734">
        <w:rPr>
          <w:sz w:val="20"/>
          <w:szCs w:val="20"/>
        </w:rPr>
        <w:t xml:space="preserve"> nach Treu und Glauben benötigt, um zu prüfen, ob er daran interessiert ist, von seinem Optionsrecht Gebrauch zu machen. Für den Fall der Ausübung der Option durch den </w:t>
      </w:r>
      <w:r w:rsidR="00FE7E99">
        <w:rPr>
          <w:sz w:val="20"/>
          <w:szCs w:val="20"/>
        </w:rPr>
        <w:t>Auftraggeber</w:t>
      </w:r>
      <w:r w:rsidRPr="00392734">
        <w:rPr>
          <w:sz w:val="20"/>
          <w:szCs w:val="20"/>
        </w:rPr>
        <w:t xml:space="preserve"> verpflichtet sich das Prüfzentrum ferner, die von der ausgeübten Option betroffenen Erfindungen in Anspruch zu nehmen.</w:t>
      </w:r>
    </w:p>
    <w:p w14:paraId="068903F8" w14:textId="77777777" w:rsidR="00B050E9" w:rsidRPr="00392734" w:rsidRDefault="00B050E9" w:rsidP="00B050E9">
      <w:pPr>
        <w:tabs>
          <w:tab w:val="left" w:pos="856"/>
          <w:tab w:val="left" w:pos="1171"/>
        </w:tabs>
        <w:spacing w:after="240"/>
        <w:ind w:left="709"/>
        <w:contextualSpacing/>
        <w:jc w:val="both"/>
        <w:rPr>
          <w:sz w:val="20"/>
          <w:szCs w:val="20"/>
        </w:rPr>
      </w:pPr>
    </w:p>
    <w:p w14:paraId="5169F1DF" w14:textId="77777777" w:rsidR="00B050E9" w:rsidRPr="00B95166" w:rsidRDefault="00B050E9" w:rsidP="00B050E9">
      <w:pPr>
        <w:tabs>
          <w:tab w:val="left" w:pos="856"/>
          <w:tab w:val="left" w:pos="1171"/>
        </w:tabs>
        <w:spacing w:after="240"/>
        <w:ind w:left="709"/>
        <w:contextualSpacing/>
        <w:jc w:val="both"/>
        <w:rPr>
          <w:i/>
          <w:iCs/>
          <w:sz w:val="18"/>
          <w:szCs w:val="18"/>
        </w:rPr>
      </w:pPr>
      <w:r w:rsidRPr="00B95166">
        <w:rPr>
          <w:i/>
          <w:iCs/>
          <w:sz w:val="18"/>
          <w:szCs w:val="18"/>
          <w:highlight w:val="lightGray"/>
          <w:u w:val="single"/>
        </w:rPr>
        <w:t>Hinweis</w:t>
      </w:r>
      <w:r w:rsidRPr="00B95166">
        <w:rPr>
          <w:i/>
          <w:iCs/>
          <w:sz w:val="18"/>
          <w:szCs w:val="18"/>
          <w:highlight w:val="lightGray"/>
        </w:rPr>
        <w:t>: Die Parteien sollten für den Fall von Streitigkeiten eine Regelung vorsehen, die z. B. ein Schiedsgericht oder ein Mediationsverfahren adressieren.</w:t>
      </w:r>
      <w:r w:rsidRPr="00B95166">
        <w:rPr>
          <w:rStyle w:val="Funotenzeichen"/>
          <w:i/>
          <w:iCs/>
          <w:sz w:val="18"/>
          <w:szCs w:val="18"/>
          <w:highlight w:val="lightGray"/>
        </w:rPr>
        <w:footnoteReference w:id="5"/>
      </w:r>
      <w:r w:rsidRPr="00B95166">
        <w:rPr>
          <w:i/>
          <w:iCs/>
          <w:sz w:val="18"/>
          <w:szCs w:val="18"/>
        </w:rPr>
        <w:t xml:space="preserve"> </w:t>
      </w:r>
    </w:p>
    <w:p w14:paraId="601EF6B9" w14:textId="77777777" w:rsidR="00B050E9" w:rsidRDefault="00B050E9" w:rsidP="00B050E9">
      <w:pPr>
        <w:rPr>
          <w:sz w:val="20"/>
          <w:szCs w:val="20"/>
        </w:rPr>
      </w:pPr>
    </w:p>
    <w:p w14:paraId="6870DB5D" w14:textId="13BF5DEE" w:rsidR="00B050E9" w:rsidRPr="0091456B" w:rsidRDefault="00B050E9" w:rsidP="00B050E9">
      <w:pPr>
        <w:rPr>
          <w:sz w:val="20"/>
          <w:szCs w:val="20"/>
        </w:rPr>
      </w:pPr>
      <w:r w:rsidRPr="0091456B">
        <w:rPr>
          <w:sz w:val="20"/>
          <w:szCs w:val="20"/>
          <w:u w:val="single"/>
        </w:rPr>
        <w:t>4.3</w:t>
      </w:r>
      <w:r w:rsidRPr="0091456B">
        <w:rPr>
          <w:sz w:val="20"/>
          <w:szCs w:val="20"/>
          <w:u w:val="single"/>
        </w:rPr>
        <w:tab/>
        <w:t>Übertragung / Einräumung der Rechte an Ergebnissen</w:t>
      </w:r>
      <w:r w:rsidR="0091456B" w:rsidRPr="0091456B">
        <w:rPr>
          <w:sz w:val="20"/>
          <w:szCs w:val="20"/>
        </w:rPr>
        <w:t>.</w:t>
      </w:r>
      <w:r w:rsidRPr="0091456B">
        <w:rPr>
          <w:sz w:val="20"/>
          <w:szCs w:val="20"/>
        </w:rPr>
        <w:t xml:space="preserve"> </w:t>
      </w:r>
    </w:p>
    <w:p w14:paraId="4C9C7971" w14:textId="77777777" w:rsidR="00B050E9" w:rsidRPr="008173D9" w:rsidRDefault="00B050E9" w:rsidP="00B050E9">
      <w:pPr>
        <w:rPr>
          <w:sz w:val="20"/>
          <w:szCs w:val="20"/>
        </w:rPr>
      </w:pPr>
    </w:p>
    <w:p w14:paraId="29EBCB27" w14:textId="2F9F432E" w:rsidR="00B050E9" w:rsidRPr="008173D9" w:rsidRDefault="00B050E9" w:rsidP="00B050E9">
      <w:pPr>
        <w:jc w:val="both"/>
        <w:rPr>
          <w:sz w:val="20"/>
          <w:szCs w:val="20"/>
        </w:rPr>
      </w:pPr>
      <w:r w:rsidRPr="008173D9">
        <w:rPr>
          <w:sz w:val="20"/>
          <w:szCs w:val="20"/>
        </w:rPr>
        <w:t xml:space="preserve">Soweit Ergebnisse nicht unter Ziffer </w:t>
      </w:r>
      <w:r>
        <w:rPr>
          <w:sz w:val="20"/>
          <w:szCs w:val="20"/>
        </w:rPr>
        <w:t>4</w:t>
      </w:r>
      <w:r w:rsidRPr="008173D9">
        <w:rPr>
          <w:sz w:val="20"/>
          <w:szCs w:val="20"/>
        </w:rPr>
        <w:t>.2 fallen, überträgt und tritt das Prüfzentrum</w:t>
      </w:r>
      <w:r w:rsidRPr="008173D9">
        <w:t xml:space="preserve"> </w:t>
      </w:r>
      <w:r w:rsidRPr="008173D9">
        <w:rPr>
          <w:sz w:val="20"/>
          <w:szCs w:val="20"/>
        </w:rPr>
        <w:t xml:space="preserve">- soweit rechtlich möglich – bereits hiermit vorab seine jeweiligen Rechte an den Ergebnissen an den </w:t>
      </w:r>
      <w:r w:rsidR="00FE7E99">
        <w:rPr>
          <w:sz w:val="20"/>
          <w:szCs w:val="20"/>
        </w:rPr>
        <w:t>Auftraggeber</w:t>
      </w:r>
      <w:r w:rsidRPr="008173D9">
        <w:rPr>
          <w:sz w:val="20"/>
          <w:szCs w:val="20"/>
        </w:rPr>
        <w:t xml:space="preserve"> ab, welcher diese Abtretung annimmt.</w:t>
      </w:r>
      <w:r w:rsidRPr="008173D9">
        <w:t xml:space="preserve"> </w:t>
      </w:r>
      <w:r w:rsidRPr="008173D9">
        <w:rPr>
          <w:sz w:val="20"/>
          <w:szCs w:val="20"/>
        </w:rPr>
        <w:t xml:space="preserve">Soweit es um Urheberrechte an den Ergebnissen geht, wird dem </w:t>
      </w:r>
      <w:r w:rsidR="00FE7E99">
        <w:rPr>
          <w:sz w:val="20"/>
          <w:szCs w:val="20"/>
        </w:rPr>
        <w:t>Auftraggeber</w:t>
      </w:r>
      <w:r w:rsidRPr="008173D9">
        <w:rPr>
          <w:sz w:val="20"/>
          <w:szCs w:val="20"/>
        </w:rPr>
        <w:t xml:space="preserve"> ein unentgeltliches, unwiderrufliches, ausschließliches, übertragbares, zeitlich, örtlich und inhaltlich unbegrenztes sowie unterlizenzierbares Nutzungsrecht für alle Nutzungsarten eingeräumt. Im Falle einer vollständigen Übertragung der Rechte an Ergebnissen gemäß dieser Ziffer </w:t>
      </w:r>
      <w:r>
        <w:rPr>
          <w:sz w:val="20"/>
          <w:szCs w:val="20"/>
        </w:rPr>
        <w:t>4</w:t>
      </w:r>
      <w:r w:rsidRPr="008173D9">
        <w:rPr>
          <w:sz w:val="20"/>
          <w:szCs w:val="20"/>
        </w:rPr>
        <w:t xml:space="preserve">.3 oder Ziffer </w:t>
      </w:r>
      <w:r>
        <w:rPr>
          <w:sz w:val="20"/>
          <w:szCs w:val="20"/>
        </w:rPr>
        <w:t>4</w:t>
      </w:r>
      <w:r w:rsidRPr="008173D9">
        <w:rPr>
          <w:sz w:val="20"/>
          <w:szCs w:val="20"/>
        </w:rPr>
        <w:t xml:space="preserve">.2 ist der </w:t>
      </w:r>
      <w:r w:rsidR="00FE7E99">
        <w:rPr>
          <w:sz w:val="20"/>
          <w:szCs w:val="20"/>
        </w:rPr>
        <w:t>Auftraggeber</w:t>
      </w:r>
      <w:r w:rsidRPr="008173D9">
        <w:rPr>
          <w:sz w:val="20"/>
          <w:szCs w:val="20"/>
        </w:rPr>
        <w:t xml:space="preserve"> nicht verpflichtet, Erfindungen zum Patent anzumelden bzw. anderweitig zu nutzen. </w:t>
      </w:r>
    </w:p>
    <w:p w14:paraId="55DD6E9C" w14:textId="77777777" w:rsidR="00B050E9" w:rsidRPr="008173D9" w:rsidRDefault="00B050E9" w:rsidP="00B050E9">
      <w:pPr>
        <w:jc w:val="both"/>
        <w:rPr>
          <w:sz w:val="20"/>
          <w:szCs w:val="20"/>
        </w:rPr>
      </w:pPr>
    </w:p>
    <w:p w14:paraId="2AE92F8A" w14:textId="0B3C9C33" w:rsidR="00B050E9" w:rsidRPr="008173D9" w:rsidRDefault="00B050E9" w:rsidP="00B050E9">
      <w:pPr>
        <w:jc w:val="both"/>
        <w:rPr>
          <w:sz w:val="20"/>
          <w:szCs w:val="20"/>
        </w:rPr>
      </w:pPr>
      <w:r w:rsidRPr="008173D9">
        <w:rPr>
          <w:sz w:val="20"/>
          <w:szCs w:val="20"/>
        </w:rPr>
        <w:t xml:space="preserve">Das Prüfzentrum stellt sicher und unternimmt alle zumutbaren Maßnahmen damit dem </w:t>
      </w:r>
      <w:r w:rsidR="00FE7E99">
        <w:rPr>
          <w:sz w:val="20"/>
          <w:szCs w:val="20"/>
        </w:rPr>
        <w:t>Auftraggeber</w:t>
      </w:r>
      <w:r w:rsidRPr="008173D9">
        <w:rPr>
          <w:sz w:val="20"/>
          <w:szCs w:val="20"/>
        </w:rPr>
        <w:t xml:space="preserve"> die Rechte nach den vorstehenden Regelungen übertragen bzw. eingeräumt werden.</w:t>
      </w:r>
      <w:r w:rsidRPr="008173D9">
        <w:rPr>
          <w:sz w:val="20"/>
          <w:szCs w:val="20"/>
          <w:vertAlign w:val="superscript"/>
        </w:rPr>
        <w:footnoteReference w:id="6"/>
      </w:r>
      <w:r w:rsidRPr="008173D9">
        <w:rPr>
          <w:sz w:val="20"/>
          <w:szCs w:val="20"/>
        </w:rPr>
        <w:t xml:space="preserve"> </w:t>
      </w:r>
    </w:p>
    <w:p w14:paraId="4ED184F1" w14:textId="77777777" w:rsidR="00B050E9" w:rsidRPr="008173D9" w:rsidRDefault="00B050E9" w:rsidP="00B050E9">
      <w:pPr>
        <w:ind w:left="720"/>
        <w:contextualSpacing/>
        <w:rPr>
          <w:sz w:val="20"/>
          <w:szCs w:val="20"/>
        </w:rPr>
      </w:pPr>
    </w:p>
    <w:p w14:paraId="56E5FA26" w14:textId="2F83219E" w:rsidR="00B050E9" w:rsidRPr="0091456B" w:rsidRDefault="00B050E9" w:rsidP="00B050E9">
      <w:pPr>
        <w:rPr>
          <w:sz w:val="20"/>
          <w:szCs w:val="20"/>
        </w:rPr>
      </w:pPr>
      <w:r w:rsidRPr="0091456B">
        <w:rPr>
          <w:sz w:val="20"/>
          <w:szCs w:val="20"/>
          <w:u w:val="single"/>
        </w:rPr>
        <w:t>4.4</w:t>
      </w:r>
      <w:r w:rsidRPr="0091456B">
        <w:rPr>
          <w:sz w:val="20"/>
          <w:szCs w:val="20"/>
          <w:u w:val="single"/>
        </w:rPr>
        <w:tab/>
        <w:t>Unterstützung</w:t>
      </w:r>
      <w:r w:rsidR="0091456B">
        <w:rPr>
          <w:sz w:val="20"/>
          <w:szCs w:val="20"/>
        </w:rPr>
        <w:t>.</w:t>
      </w:r>
      <w:r w:rsidRPr="0091456B">
        <w:rPr>
          <w:sz w:val="20"/>
          <w:szCs w:val="20"/>
        </w:rPr>
        <w:t xml:space="preserve"> </w:t>
      </w:r>
    </w:p>
    <w:p w14:paraId="4FBA7386" w14:textId="77777777" w:rsidR="00B050E9" w:rsidRPr="008173D9" w:rsidRDefault="00B050E9" w:rsidP="00B050E9">
      <w:pPr>
        <w:rPr>
          <w:sz w:val="20"/>
          <w:szCs w:val="20"/>
        </w:rPr>
      </w:pPr>
    </w:p>
    <w:p w14:paraId="3EEEAEDA" w14:textId="0D0DF8E5" w:rsidR="00B050E9" w:rsidRPr="008173D9" w:rsidRDefault="00B050E9" w:rsidP="00B050E9">
      <w:pPr>
        <w:jc w:val="both"/>
        <w:rPr>
          <w:sz w:val="20"/>
          <w:szCs w:val="20"/>
        </w:rPr>
      </w:pPr>
      <w:r w:rsidRPr="008173D9">
        <w:rPr>
          <w:sz w:val="20"/>
          <w:szCs w:val="20"/>
        </w:rPr>
        <w:t xml:space="preserve">Das Prüfzentrum wird jede zumutbare Unterstützung gewähren und insbesondere sicherstellen, dass auch die relevanten Mitarbeiter des Prüfzentrums diese Unterstützung </w:t>
      </w:r>
      <w:r w:rsidRPr="008173D9">
        <w:rPr>
          <w:sz w:val="20"/>
          <w:szCs w:val="20"/>
        </w:rPr>
        <w:lastRenderedPageBreak/>
        <w:t xml:space="preserve">gewähren, die für die Erteilung und Aufrechterhaltung von Schutzrechten für Erfindungen erforderlich ist und vom </w:t>
      </w:r>
      <w:r w:rsidR="00FE7E99">
        <w:rPr>
          <w:sz w:val="20"/>
          <w:szCs w:val="20"/>
        </w:rPr>
        <w:t>Auftraggeber</w:t>
      </w:r>
      <w:r w:rsidRPr="008173D9">
        <w:rPr>
          <w:sz w:val="20"/>
          <w:szCs w:val="20"/>
        </w:rPr>
        <w:t xml:space="preserve"> oder seinen verbundenen Unternehmen verlangt wird, einschließlich der Unterzeichnung von allen erforderlichen rechtlichen Dokumenten. </w:t>
      </w:r>
    </w:p>
    <w:p w14:paraId="65B6AC7F" w14:textId="77777777" w:rsidR="00B050E9" w:rsidRPr="008173D9" w:rsidRDefault="00B050E9" w:rsidP="00B050E9">
      <w:pPr>
        <w:rPr>
          <w:sz w:val="20"/>
          <w:szCs w:val="20"/>
        </w:rPr>
      </w:pPr>
    </w:p>
    <w:p w14:paraId="2C047308" w14:textId="27CE3FE5" w:rsidR="00B050E9" w:rsidRPr="0091456B" w:rsidRDefault="00B050E9" w:rsidP="00B050E9">
      <w:pPr>
        <w:jc w:val="both"/>
        <w:rPr>
          <w:sz w:val="20"/>
          <w:szCs w:val="20"/>
          <w:u w:val="single"/>
        </w:rPr>
      </w:pPr>
      <w:r w:rsidRPr="0091456B">
        <w:rPr>
          <w:sz w:val="20"/>
          <w:szCs w:val="20"/>
          <w:u w:val="single"/>
        </w:rPr>
        <w:t>4.5</w:t>
      </w:r>
      <w:r w:rsidRPr="0091456B">
        <w:rPr>
          <w:sz w:val="20"/>
          <w:szCs w:val="20"/>
          <w:u w:val="single"/>
        </w:rPr>
        <w:tab/>
        <w:t>Nutzungsrechte</w:t>
      </w:r>
      <w:r w:rsidR="0091456B" w:rsidRPr="0091456B">
        <w:rPr>
          <w:sz w:val="20"/>
          <w:szCs w:val="20"/>
          <w:u w:val="single"/>
        </w:rPr>
        <w:t>.</w:t>
      </w:r>
      <w:r w:rsidRPr="0091456B">
        <w:rPr>
          <w:sz w:val="20"/>
          <w:szCs w:val="20"/>
          <w:u w:val="single"/>
        </w:rPr>
        <w:t xml:space="preserve"> </w:t>
      </w:r>
    </w:p>
    <w:p w14:paraId="41BDCD27" w14:textId="77777777" w:rsidR="00B050E9" w:rsidRPr="008173D9" w:rsidRDefault="00B050E9" w:rsidP="00B050E9">
      <w:pPr>
        <w:jc w:val="both"/>
        <w:rPr>
          <w:sz w:val="20"/>
          <w:szCs w:val="20"/>
        </w:rPr>
      </w:pPr>
    </w:p>
    <w:p w14:paraId="29742371" w14:textId="2B342A2F" w:rsidR="00B050E9" w:rsidRPr="008173D9" w:rsidRDefault="00B050E9" w:rsidP="00B050E9">
      <w:pPr>
        <w:jc w:val="both"/>
        <w:rPr>
          <w:sz w:val="20"/>
          <w:szCs w:val="20"/>
        </w:rPr>
      </w:pPr>
      <w:r w:rsidRPr="008173D9">
        <w:rPr>
          <w:sz w:val="20"/>
          <w:szCs w:val="20"/>
        </w:rPr>
        <w:t xml:space="preserve">Der </w:t>
      </w:r>
      <w:r w:rsidR="00FE7E99">
        <w:rPr>
          <w:sz w:val="20"/>
          <w:szCs w:val="20"/>
        </w:rPr>
        <w:t>Auftraggeber</w:t>
      </w:r>
      <w:r w:rsidRPr="008173D9">
        <w:rPr>
          <w:sz w:val="20"/>
          <w:szCs w:val="20"/>
        </w:rPr>
        <w:t xml:space="preserve"> gewährt dem Prüfzentrum ein nicht-ausschließliches Recht zur Nutzung der am Prüfzentrum entstandenen, unter die vorstehenden Ziffern fallenden Ergebnisse für dessen interne und nicht kommerzielle Forschungs- und Lehrtätigkeit, vorbehaltlich der in diesem Vertrag vereinbarten Bestimmungen über Vertraulichkeit und Publikationen. Jegliche sonstige Nutzung der Ergebnisse durch das Prüfzentrum ist zu unterlassen.</w:t>
      </w:r>
    </w:p>
    <w:p w14:paraId="67806A75" w14:textId="77777777" w:rsidR="00B050E9" w:rsidRPr="008173D9" w:rsidRDefault="00B050E9" w:rsidP="00B050E9">
      <w:pPr>
        <w:rPr>
          <w:sz w:val="20"/>
          <w:szCs w:val="20"/>
        </w:rPr>
      </w:pPr>
    </w:p>
    <w:p w14:paraId="2495FE29" w14:textId="18CBFB08" w:rsidR="00B050E9" w:rsidRPr="00392734" w:rsidRDefault="00B050E9" w:rsidP="00B050E9">
      <w:pPr>
        <w:jc w:val="both"/>
        <w:rPr>
          <w:i/>
          <w:iCs/>
          <w:sz w:val="20"/>
          <w:szCs w:val="20"/>
        </w:rPr>
      </w:pPr>
      <w:r w:rsidRPr="008173D9">
        <w:rPr>
          <w:sz w:val="20"/>
          <w:szCs w:val="20"/>
        </w:rPr>
        <w:t xml:space="preserve">Das Prüfzentrum und seine Mitarbeiter dürfen zudem weder die vom </w:t>
      </w:r>
      <w:r w:rsidR="00FE7E99">
        <w:rPr>
          <w:sz w:val="20"/>
          <w:szCs w:val="20"/>
        </w:rPr>
        <w:t>Auftraggeber</w:t>
      </w:r>
      <w:r w:rsidRPr="008173D9">
        <w:rPr>
          <w:sz w:val="20"/>
          <w:szCs w:val="20"/>
        </w:rPr>
        <w:t xml:space="preserve"> zur klinischen Prüfung übermittelten Informationen, Unterlagen und Materialien noch das Prüfpräparat für eine Anmeldung eines Patents oder andere gewerbliche Schutzrechte verwenden oder in einer solchen erwähnen. Das Prüfzentrum stellt sicher, dass es diese Pflicht auch seinen Mitarbeitern auferlegt.</w:t>
      </w:r>
    </w:p>
    <w:bookmarkEnd w:id="3"/>
    <w:p w14:paraId="29444110" w14:textId="77777777" w:rsidR="00B050E9" w:rsidRPr="00392734" w:rsidRDefault="00B050E9" w:rsidP="00B050E9">
      <w:pPr>
        <w:rPr>
          <w:sz w:val="20"/>
          <w:szCs w:val="20"/>
        </w:rPr>
      </w:pPr>
    </w:p>
    <w:p w14:paraId="1E8CC3CE" w14:textId="194073CE" w:rsidR="007E6D9A" w:rsidRDefault="007E6D9A" w:rsidP="00C70646">
      <w:pPr>
        <w:jc w:val="both"/>
        <w:rPr>
          <w:sz w:val="20"/>
          <w:szCs w:val="20"/>
        </w:rPr>
      </w:pPr>
    </w:p>
    <w:p w14:paraId="2406F6D9" w14:textId="0D849381" w:rsidR="00605402" w:rsidRPr="00907AB2" w:rsidRDefault="00B050E9" w:rsidP="00C70646">
      <w:pPr>
        <w:jc w:val="both"/>
        <w:rPr>
          <w:rFonts w:cs="Arial"/>
          <w:b/>
          <w:sz w:val="20"/>
          <w:szCs w:val="20"/>
        </w:rPr>
      </w:pPr>
      <w:r>
        <w:rPr>
          <w:rFonts w:cs="Arial"/>
          <w:b/>
          <w:sz w:val="20"/>
          <w:szCs w:val="20"/>
        </w:rPr>
        <w:t>5</w:t>
      </w:r>
      <w:r w:rsidR="00907AB2" w:rsidRPr="00235FAD">
        <w:rPr>
          <w:rFonts w:cs="Arial"/>
          <w:b/>
          <w:sz w:val="20"/>
          <w:szCs w:val="20"/>
        </w:rPr>
        <w:t>.</w:t>
      </w:r>
      <w:r w:rsidR="00907AB2">
        <w:rPr>
          <w:rFonts w:cs="Arial"/>
          <w:b/>
          <w:sz w:val="20"/>
          <w:szCs w:val="20"/>
        </w:rPr>
        <w:tab/>
      </w:r>
      <w:r w:rsidR="00605402" w:rsidRPr="00907AB2">
        <w:rPr>
          <w:rFonts w:cs="Arial"/>
          <w:b/>
          <w:sz w:val="20"/>
          <w:szCs w:val="20"/>
        </w:rPr>
        <w:t>Haftung</w:t>
      </w:r>
      <w:r w:rsidR="00261262" w:rsidRPr="00261262">
        <w:rPr>
          <w:rFonts w:cs="Arial"/>
          <w:b/>
          <w:sz w:val="20"/>
          <w:szCs w:val="20"/>
          <w:vertAlign w:val="superscript"/>
        </w:rPr>
        <w:t>*</w:t>
      </w:r>
    </w:p>
    <w:p w14:paraId="3A38B507" w14:textId="77777777" w:rsidR="00907AB2" w:rsidRDefault="00907AB2" w:rsidP="00C70646">
      <w:pPr>
        <w:jc w:val="both"/>
        <w:rPr>
          <w:rFonts w:cs="Arial"/>
          <w:sz w:val="20"/>
          <w:szCs w:val="20"/>
          <w:u w:val="single"/>
        </w:rPr>
      </w:pPr>
    </w:p>
    <w:p w14:paraId="2C85B159" w14:textId="77777777" w:rsidR="001749A1" w:rsidRDefault="001749A1" w:rsidP="00C70646">
      <w:pPr>
        <w:jc w:val="both"/>
        <w:rPr>
          <w:rFonts w:cs="Arial"/>
          <w:sz w:val="20"/>
          <w:szCs w:val="20"/>
        </w:rPr>
      </w:pPr>
      <w:r w:rsidRPr="001749A1">
        <w:rPr>
          <w:rFonts w:cs="Arial"/>
          <w:sz w:val="20"/>
          <w:szCs w:val="20"/>
        </w:rPr>
        <w:t xml:space="preserve">Die Vertragsparteien haften jeweils für Vorsatz und Fahrlässigkeit. Im Falle leichter Fahrlässigkeit wird die Haftung der Vertragsparteien für Schäden, welche nicht aus der Verletzung des Lebens, des Körpers oder der Gesundheit resultieren, beschränkt auf </w:t>
      </w:r>
    </w:p>
    <w:p w14:paraId="1FF17B13" w14:textId="77777777" w:rsidR="001749A1" w:rsidRPr="001749A1" w:rsidRDefault="001749A1" w:rsidP="00C70646">
      <w:pPr>
        <w:jc w:val="both"/>
        <w:rPr>
          <w:rFonts w:cs="Arial"/>
          <w:sz w:val="20"/>
          <w:szCs w:val="20"/>
        </w:rPr>
      </w:pPr>
    </w:p>
    <w:p w14:paraId="0E0B5648" w14:textId="77777777" w:rsidR="001749A1" w:rsidRDefault="001749A1" w:rsidP="00C70646">
      <w:pPr>
        <w:ind w:left="708"/>
        <w:jc w:val="both"/>
        <w:rPr>
          <w:rFonts w:cs="Arial"/>
          <w:sz w:val="20"/>
          <w:szCs w:val="20"/>
        </w:rPr>
      </w:pPr>
      <w:r w:rsidRPr="001749A1">
        <w:rPr>
          <w:rFonts w:cs="Arial"/>
          <w:sz w:val="20"/>
          <w:szCs w:val="20"/>
        </w:rPr>
        <w:t xml:space="preserve">(a) die bei Vertragsschluss vorhersehbaren und vertragstypischen Schäden, wenn der Schaden aus der Verletzung einer vertragswesentlichen Pflicht resultiert, </w:t>
      </w:r>
      <w:r>
        <w:rPr>
          <w:rFonts w:cs="Arial"/>
          <w:sz w:val="20"/>
          <w:szCs w:val="20"/>
        </w:rPr>
        <w:t>und</w:t>
      </w:r>
    </w:p>
    <w:p w14:paraId="63F9BB7B" w14:textId="77777777" w:rsidR="001749A1" w:rsidRPr="001749A1" w:rsidRDefault="001749A1" w:rsidP="00C70646">
      <w:pPr>
        <w:ind w:left="708"/>
        <w:jc w:val="both"/>
        <w:rPr>
          <w:rFonts w:cs="Arial"/>
          <w:sz w:val="20"/>
          <w:szCs w:val="20"/>
        </w:rPr>
      </w:pPr>
    </w:p>
    <w:p w14:paraId="7E9A47C7" w14:textId="77777777" w:rsidR="001749A1" w:rsidRDefault="001749A1" w:rsidP="00C70646">
      <w:pPr>
        <w:ind w:left="708"/>
        <w:jc w:val="both"/>
        <w:rPr>
          <w:rFonts w:cs="Arial"/>
          <w:sz w:val="20"/>
          <w:szCs w:val="20"/>
        </w:rPr>
      </w:pPr>
      <w:r w:rsidRPr="001749A1">
        <w:rPr>
          <w:rFonts w:cs="Arial"/>
          <w:sz w:val="20"/>
          <w:szCs w:val="20"/>
        </w:rPr>
        <w:t xml:space="preserve">(b) auf den </w:t>
      </w:r>
      <w:r w:rsidRPr="00130262">
        <w:rPr>
          <w:rFonts w:cs="Arial"/>
          <w:i/>
          <w:sz w:val="20"/>
          <w:szCs w:val="20"/>
        </w:rPr>
        <w:t>[x-</w:t>
      </w:r>
      <w:proofErr w:type="gramStart"/>
      <w:r w:rsidRPr="00130262">
        <w:rPr>
          <w:rFonts w:cs="Arial"/>
          <w:i/>
          <w:sz w:val="20"/>
          <w:szCs w:val="20"/>
        </w:rPr>
        <w:t>fachen]</w:t>
      </w:r>
      <w:r w:rsidRPr="00261262">
        <w:rPr>
          <w:rFonts w:cs="Arial"/>
          <w:sz w:val="20"/>
          <w:szCs w:val="20"/>
        </w:rPr>
        <w:t>*</w:t>
      </w:r>
      <w:proofErr w:type="gramEnd"/>
      <w:r w:rsidR="004B2E64">
        <w:rPr>
          <w:rFonts w:cs="Arial"/>
          <w:sz w:val="20"/>
          <w:szCs w:val="20"/>
        </w:rPr>
        <w:t>*</w:t>
      </w:r>
      <w:r w:rsidRPr="001749A1">
        <w:rPr>
          <w:rFonts w:cs="Arial"/>
          <w:sz w:val="20"/>
          <w:szCs w:val="20"/>
        </w:rPr>
        <w:t xml:space="preserve"> Auftragswert, wenn der Schaden aus der Verletzung einer sonstigen Pflicht resultiert. </w:t>
      </w:r>
    </w:p>
    <w:p w14:paraId="7FC0A549" w14:textId="77777777" w:rsidR="001749A1" w:rsidRDefault="001749A1" w:rsidP="00C70646">
      <w:pPr>
        <w:jc w:val="both"/>
        <w:rPr>
          <w:rFonts w:cs="Arial"/>
          <w:sz w:val="20"/>
          <w:szCs w:val="20"/>
        </w:rPr>
      </w:pPr>
    </w:p>
    <w:p w14:paraId="1C91D570" w14:textId="77777777" w:rsidR="001749A1" w:rsidRDefault="001749A1" w:rsidP="00C70646">
      <w:pPr>
        <w:jc w:val="both"/>
        <w:rPr>
          <w:rFonts w:cs="Arial"/>
          <w:sz w:val="20"/>
          <w:szCs w:val="20"/>
        </w:rPr>
      </w:pPr>
      <w:r w:rsidRPr="001749A1">
        <w:rPr>
          <w:rFonts w:cs="Arial"/>
          <w:sz w:val="20"/>
          <w:szCs w:val="20"/>
        </w:rPr>
        <w:t xml:space="preserve">Vertragswesentliche Pflichten sind solche Pflichten, deren Erfüllung die ordnungsgemäße Durchführung des Vertrages ermöglicht und/oder auf deren Einhaltung die andere Vertragspartei regelmäßig vertraut und vertrauen darf. </w:t>
      </w:r>
    </w:p>
    <w:p w14:paraId="21B5DD2A" w14:textId="77777777" w:rsidR="001749A1" w:rsidRPr="001749A1" w:rsidRDefault="001749A1" w:rsidP="00C70646">
      <w:pPr>
        <w:jc w:val="both"/>
        <w:rPr>
          <w:rFonts w:cs="Arial"/>
          <w:sz w:val="20"/>
          <w:szCs w:val="20"/>
        </w:rPr>
      </w:pPr>
    </w:p>
    <w:p w14:paraId="58F265EE" w14:textId="77777777" w:rsidR="00605402" w:rsidRDefault="001749A1" w:rsidP="00C70646">
      <w:pPr>
        <w:jc w:val="both"/>
        <w:rPr>
          <w:rFonts w:cs="Arial"/>
          <w:sz w:val="20"/>
          <w:szCs w:val="20"/>
        </w:rPr>
      </w:pPr>
      <w:r w:rsidRPr="001749A1">
        <w:rPr>
          <w:rFonts w:cs="Arial"/>
          <w:sz w:val="20"/>
          <w:szCs w:val="20"/>
        </w:rPr>
        <w:t>Die vorstehenden Haftungsregelungen gelten auch für Vertreter und Erfüllungsgehilfen der Vertragsparteien.</w:t>
      </w:r>
    </w:p>
    <w:p w14:paraId="663D34D9" w14:textId="77777777" w:rsidR="001749A1" w:rsidRDefault="001749A1" w:rsidP="00C70646">
      <w:pPr>
        <w:jc w:val="both"/>
        <w:rPr>
          <w:rFonts w:cs="Arial"/>
          <w:sz w:val="20"/>
          <w:szCs w:val="20"/>
        </w:rPr>
      </w:pPr>
    </w:p>
    <w:p w14:paraId="359DBAE1" w14:textId="77777777" w:rsidR="00B050E9" w:rsidRPr="00B95166" w:rsidRDefault="00B050E9" w:rsidP="00C70646">
      <w:pPr>
        <w:pStyle w:val="Listenabsatz"/>
        <w:jc w:val="both"/>
        <w:rPr>
          <w:rFonts w:ascii="Verdana" w:hAnsi="Verdana" w:cs="Arial"/>
          <w:i/>
          <w:sz w:val="18"/>
          <w:szCs w:val="18"/>
          <w:highlight w:val="lightGray"/>
        </w:rPr>
      </w:pPr>
      <w:r w:rsidRPr="00B95166">
        <w:rPr>
          <w:rFonts w:ascii="Verdana" w:hAnsi="Verdana" w:cs="Arial"/>
          <w:i/>
          <w:sz w:val="18"/>
          <w:szCs w:val="18"/>
          <w:highlight w:val="lightGray"/>
          <w:u w:val="single"/>
        </w:rPr>
        <w:t>Hinweise</w:t>
      </w:r>
      <w:r w:rsidRPr="00B95166">
        <w:rPr>
          <w:rFonts w:ascii="Verdana" w:hAnsi="Verdana" w:cs="Arial"/>
          <w:i/>
          <w:sz w:val="18"/>
          <w:szCs w:val="18"/>
          <w:highlight w:val="lightGray"/>
        </w:rPr>
        <w:t>:</w:t>
      </w:r>
    </w:p>
    <w:p w14:paraId="55215D6B" w14:textId="57140201" w:rsidR="00261262" w:rsidRPr="00B95166" w:rsidRDefault="00261262" w:rsidP="00C70646">
      <w:pPr>
        <w:pStyle w:val="Listenabsatz"/>
        <w:jc w:val="both"/>
        <w:rPr>
          <w:rFonts w:ascii="Verdana" w:hAnsi="Verdana" w:cs="Arial"/>
          <w:i/>
          <w:sz w:val="18"/>
          <w:szCs w:val="18"/>
          <w:highlight w:val="lightGray"/>
        </w:rPr>
      </w:pPr>
      <w:r w:rsidRPr="00B95166">
        <w:rPr>
          <w:rFonts w:ascii="Verdana" w:hAnsi="Verdana" w:cs="Arial"/>
          <w:i/>
          <w:sz w:val="18"/>
          <w:szCs w:val="18"/>
          <w:highlight w:val="lightGray"/>
        </w:rPr>
        <w:t>* Dies ist eine umfassende Klausel, sodass weitere Regelungen zu Umsatzschäden, entgangenem Gewinn, Verletzung von Schutzrechten Dritte</w:t>
      </w:r>
      <w:r w:rsidR="009E72B0" w:rsidRPr="00B95166">
        <w:rPr>
          <w:rFonts w:ascii="Verdana" w:hAnsi="Verdana" w:cs="Arial"/>
          <w:i/>
          <w:sz w:val="18"/>
          <w:szCs w:val="18"/>
          <w:highlight w:val="lightGray"/>
        </w:rPr>
        <w:t>r</w:t>
      </w:r>
      <w:r w:rsidRPr="00B95166">
        <w:rPr>
          <w:rFonts w:ascii="Verdana" w:hAnsi="Verdana" w:cs="Arial"/>
          <w:i/>
          <w:sz w:val="18"/>
          <w:szCs w:val="18"/>
          <w:highlight w:val="lightGray"/>
        </w:rPr>
        <w:t xml:space="preserve"> etc. entbehrlich sind.</w:t>
      </w:r>
    </w:p>
    <w:p w14:paraId="7C09C3FC" w14:textId="77777777" w:rsidR="00261262" w:rsidRPr="00B95166" w:rsidRDefault="00261262" w:rsidP="00C70646">
      <w:pPr>
        <w:pStyle w:val="Listenabsatz"/>
        <w:jc w:val="both"/>
        <w:rPr>
          <w:rFonts w:ascii="Verdana" w:hAnsi="Verdana" w:cs="Arial"/>
          <w:i/>
          <w:sz w:val="18"/>
          <w:szCs w:val="18"/>
          <w:highlight w:val="lightGray"/>
        </w:rPr>
      </w:pPr>
    </w:p>
    <w:p w14:paraId="1DB08CE4" w14:textId="54B57AAE" w:rsidR="001749A1" w:rsidRPr="00B95166" w:rsidRDefault="00261262" w:rsidP="00C70646">
      <w:pPr>
        <w:pStyle w:val="Listenabsatz"/>
        <w:jc w:val="both"/>
        <w:rPr>
          <w:rFonts w:ascii="Verdana" w:hAnsi="Verdana" w:cs="Arial"/>
          <w:i/>
          <w:sz w:val="18"/>
          <w:szCs w:val="18"/>
        </w:rPr>
      </w:pPr>
      <w:r w:rsidRPr="00B95166">
        <w:rPr>
          <w:rFonts w:ascii="Verdana" w:hAnsi="Verdana" w:cs="Arial"/>
          <w:i/>
          <w:sz w:val="18"/>
          <w:szCs w:val="18"/>
          <w:highlight w:val="lightGray"/>
        </w:rPr>
        <w:t>*</w:t>
      </w:r>
      <w:r w:rsidR="00A969D2" w:rsidRPr="00B95166">
        <w:rPr>
          <w:rFonts w:ascii="Verdana" w:hAnsi="Verdana" w:cs="Arial"/>
          <w:sz w:val="18"/>
          <w:szCs w:val="18"/>
          <w:highlight w:val="lightGray"/>
        </w:rPr>
        <w:t xml:space="preserve">* </w:t>
      </w:r>
      <w:r w:rsidR="00A969D2" w:rsidRPr="00B95166">
        <w:rPr>
          <w:rFonts w:ascii="Verdana" w:hAnsi="Verdana" w:cs="Arial"/>
          <w:i/>
          <w:sz w:val="18"/>
          <w:szCs w:val="18"/>
          <w:highlight w:val="lightGray"/>
        </w:rPr>
        <w:t>In Abhängigkeit von der tatsächlichen Höhe des Auftragswerts, der Studienphase und der Größe der Studie von den jeweiligen Vertragsparteien individuell festzulegen.</w:t>
      </w:r>
      <w:r w:rsidR="00130262" w:rsidRPr="00B95166">
        <w:rPr>
          <w:rFonts w:ascii="Verdana" w:hAnsi="Verdana" w:cs="Arial"/>
          <w:i/>
          <w:sz w:val="18"/>
          <w:szCs w:val="18"/>
          <w:highlight w:val="lightGray"/>
        </w:rPr>
        <w:t xml:space="preserve"> </w:t>
      </w:r>
      <w:r w:rsidR="007D457C" w:rsidRPr="00B95166">
        <w:rPr>
          <w:rFonts w:ascii="Verdana" w:hAnsi="Verdana" w:cs="Arial"/>
          <w:i/>
          <w:sz w:val="18"/>
          <w:szCs w:val="18"/>
          <w:highlight w:val="lightGray"/>
        </w:rPr>
        <w:t xml:space="preserve">Im </w:t>
      </w:r>
      <w:r w:rsidR="005A5A6B" w:rsidRPr="00B95166">
        <w:rPr>
          <w:rFonts w:ascii="Verdana" w:hAnsi="Verdana" w:cs="Arial"/>
          <w:i/>
          <w:sz w:val="18"/>
          <w:szCs w:val="18"/>
          <w:highlight w:val="lightGray"/>
        </w:rPr>
        <w:t xml:space="preserve">Regelfall </w:t>
      </w:r>
      <w:r w:rsidR="006F0E89" w:rsidRPr="00B95166">
        <w:rPr>
          <w:rFonts w:ascii="Verdana" w:hAnsi="Verdana" w:cs="Arial"/>
          <w:i/>
          <w:sz w:val="18"/>
          <w:szCs w:val="18"/>
          <w:highlight w:val="lightGray"/>
        </w:rPr>
        <w:t xml:space="preserve">wird man </w:t>
      </w:r>
      <w:r w:rsidR="001B4D97" w:rsidRPr="00B95166">
        <w:rPr>
          <w:rFonts w:ascii="Verdana" w:hAnsi="Verdana" w:cs="Arial"/>
          <w:i/>
          <w:sz w:val="18"/>
          <w:szCs w:val="18"/>
          <w:highlight w:val="lightGray"/>
        </w:rPr>
        <w:t>von einem ein- bis zweifachen Auftragswert auszugehen</w:t>
      </w:r>
      <w:r w:rsidR="006F0E89" w:rsidRPr="00B95166">
        <w:rPr>
          <w:rFonts w:ascii="Verdana" w:hAnsi="Verdana" w:cs="Arial"/>
          <w:i/>
          <w:sz w:val="18"/>
          <w:szCs w:val="18"/>
          <w:highlight w:val="lightGray"/>
        </w:rPr>
        <w:t xml:space="preserve"> können</w:t>
      </w:r>
      <w:r w:rsidR="001B4D97" w:rsidRPr="00B95166">
        <w:rPr>
          <w:rFonts w:ascii="Verdana" w:hAnsi="Verdana" w:cs="Arial"/>
          <w:i/>
          <w:sz w:val="18"/>
          <w:szCs w:val="18"/>
          <w:highlight w:val="lightGray"/>
        </w:rPr>
        <w:t>, es sei denn</w:t>
      </w:r>
      <w:r w:rsidR="00A258A9" w:rsidRPr="00B95166">
        <w:rPr>
          <w:rFonts w:ascii="Verdana" w:hAnsi="Verdana" w:cs="Arial"/>
          <w:i/>
          <w:sz w:val="18"/>
          <w:szCs w:val="18"/>
          <w:highlight w:val="lightGray"/>
        </w:rPr>
        <w:t>,</w:t>
      </w:r>
      <w:r w:rsidR="001B4D97" w:rsidRPr="00B95166">
        <w:rPr>
          <w:rFonts w:ascii="Verdana" w:hAnsi="Verdana" w:cs="Arial"/>
          <w:i/>
          <w:sz w:val="18"/>
          <w:szCs w:val="18"/>
          <w:highlight w:val="lightGray"/>
        </w:rPr>
        <w:t xml:space="preserve"> die Beschränkung erscheint im Einzelfall unangemessen.</w:t>
      </w:r>
    </w:p>
    <w:p w14:paraId="1919C180" w14:textId="77777777" w:rsidR="00605402" w:rsidRPr="00630C15" w:rsidRDefault="00605402" w:rsidP="00C70646">
      <w:pPr>
        <w:jc w:val="both"/>
        <w:rPr>
          <w:sz w:val="20"/>
          <w:szCs w:val="20"/>
        </w:rPr>
      </w:pPr>
    </w:p>
    <w:p w14:paraId="0C210799" w14:textId="5F85C58E" w:rsidR="00605402" w:rsidRPr="00630C15" w:rsidRDefault="00B050E9" w:rsidP="00C70646">
      <w:pPr>
        <w:jc w:val="both"/>
        <w:rPr>
          <w:b/>
          <w:sz w:val="20"/>
          <w:szCs w:val="20"/>
        </w:rPr>
      </w:pPr>
      <w:r>
        <w:rPr>
          <w:b/>
          <w:sz w:val="20"/>
          <w:szCs w:val="20"/>
        </w:rPr>
        <w:t>6</w:t>
      </w:r>
      <w:r w:rsidR="00605402" w:rsidRPr="00235FAD">
        <w:rPr>
          <w:b/>
          <w:sz w:val="20"/>
          <w:szCs w:val="20"/>
        </w:rPr>
        <w:t>.</w:t>
      </w:r>
      <w:r w:rsidR="00907AB2">
        <w:rPr>
          <w:b/>
          <w:sz w:val="20"/>
          <w:szCs w:val="20"/>
        </w:rPr>
        <w:tab/>
      </w:r>
      <w:r w:rsidR="00605402" w:rsidRPr="00630C15">
        <w:rPr>
          <w:b/>
          <w:sz w:val="20"/>
          <w:szCs w:val="20"/>
        </w:rPr>
        <w:t>Audits/Inspektionen</w:t>
      </w:r>
    </w:p>
    <w:p w14:paraId="6A2D1F9E" w14:textId="77777777" w:rsidR="00605402" w:rsidRPr="00630C15" w:rsidRDefault="00605402" w:rsidP="00C70646">
      <w:pPr>
        <w:jc w:val="both"/>
        <w:rPr>
          <w:sz w:val="20"/>
          <w:szCs w:val="20"/>
        </w:rPr>
      </w:pPr>
    </w:p>
    <w:p w14:paraId="6022E296" w14:textId="77777777" w:rsidR="00605402" w:rsidRDefault="00605402" w:rsidP="00C70646">
      <w:pPr>
        <w:jc w:val="both"/>
        <w:rPr>
          <w:sz w:val="20"/>
          <w:szCs w:val="20"/>
        </w:rPr>
      </w:pPr>
      <w:r w:rsidRPr="00630C15">
        <w:rPr>
          <w:sz w:val="20"/>
          <w:szCs w:val="20"/>
        </w:rPr>
        <w:t xml:space="preserve">Die in </w:t>
      </w:r>
      <w:r w:rsidR="00E31227">
        <w:rPr>
          <w:sz w:val="20"/>
          <w:szCs w:val="20"/>
        </w:rPr>
        <w:t xml:space="preserve">dieser </w:t>
      </w:r>
      <w:r w:rsidRPr="00630C15">
        <w:rPr>
          <w:sz w:val="20"/>
          <w:szCs w:val="20"/>
        </w:rPr>
        <w:t xml:space="preserve">Ziffer genannten Verpflichtungen gelten </w:t>
      </w:r>
      <w:r w:rsidR="007F3390" w:rsidRPr="00630C15">
        <w:rPr>
          <w:sz w:val="20"/>
          <w:szCs w:val="20"/>
        </w:rPr>
        <w:t xml:space="preserve">mind. </w:t>
      </w:r>
      <w:r w:rsidRPr="00630C15">
        <w:rPr>
          <w:sz w:val="20"/>
          <w:szCs w:val="20"/>
        </w:rPr>
        <w:t>15 Jahre über die Beendigung des Vertrages hinaus, es sei denn, dass die gesetzliche Aufbewahrungsfrist darüber hi</w:t>
      </w:r>
      <w:r w:rsidR="007F3390" w:rsidRPr="00630C15">
        <w:rPr>
          <w:sz w:val="20"/>
          <w:szCs w:val="20"/>
        </w:rPr>
        <w:t>nausgeht</w:t>
      </w:r>
      <w:r w:rsidRPr="00630C15">
        <w:rPr>
          <w:sz w:val="20"/>
          <w:szCs w:val="20"/>
        </w:rPr>
        <w:t>.</w:t>
      </w:r>
    </w:p>
    <w:p w14:paraId="355B8DCD" w14:textId="77777777" w:rsidR="00907AB2" w:rsidRDefault="00907AB2" w:rsidP="00C70646">
      <w:pPr>
        <w:jc w:val="both"/>
        <w:rPr>
          <w:sz w:val="20"/>
          <w:szCs w:val="20"/>
        </w:rPr>
      </w:pPr>
    </w:p>
    <w:p w14:paraId="145BCE3D" w14:textId="46BEFBCD" w:rsidR="00907AB2" w:rsidRPr="00D637A3" w:rsidRDefault="00B050E9" w:rsidP="00C70646">
      <w:pPr>
        <w:jc w:val="both"/>
        <w:rPr>
          <w:sz w:val="20"/>
          <w:szCs w:val="20"/>
          <w:u w:val="single"/>
        </w:rPr>
      </w:pPr>
      <w:r>
        <w:rPr>
          <w:sz w:val="20"/>
          <w:szCs w:val="20"/>
          <w:u w:val="single"/>
        </w:rPr>
        <w:t>6</w:t>
      </w:r>
      <w:r w:rsidR="00907AB2" w:rsidRPr="00D637A3">
        <w:rPr>
          <w:sz w:val="20"/>
          <w:szCs w:val="20"/>
          <w:u w:val="single"/>
        </w:rPr>
        <w:t>.1</w:t>
      </w:r>
      <w:r w:rsidR="00907AB2" w:rsidRPr="00D637A3">
        <w:rPr>
          <w:sz w:val="20"/>
          <w:szCs w:val="20"/>
          <w:u w:val="single"/>
        </w:rPr>
        <w:tab/>
        <w:t>Überwachung (Monitoring</w:t>
      </w:r>
      <w:r w:rsidR="00CB0F60" w:rsidRPr="00D637A3">
        <w:rPr>
          <w:sz w:val="20"/>
          <w:szCs w:val="20"/>
          <w:u w:val="single"/>
        </w:rPr>
        <w:t xml:space="preserve"> und Audits</w:t>
      </w:r>
      <w:r w:rsidR="00907AB2" w:rsidRPr="00D637A3">
        <w:rPr>
          <w:sz w:val="20"/>
          <w:szCs w:val="20"/>
          <w:u w:val="single"/>
        </w:rPr>
        <w:t>).</w:t>
      </w:r>
    </w:p>
    <w:p w14:paraId="2103A8B1" w14:textId="77777777" w:rsidR="00907AB2" w:rsidRPr="00907AB2" w:rsidRDefault="00907AB2" w:rsidP="00C70646">
      <w:pPr>
        <w:jc w:val="both"/>
        <w:rPr>
          <w:sz w:val="20"/>
          <w:szCs w:val="20"/>
        </w:rPr>
      </w:pPr>
    </w:p>
    <w:p w14:paraId="246B606D" w14:textId="495F7B68" w:rsidR="00907AB2" w:rsidRPr="00907AB2" w:rsidRDefault="00907AB2" w:rsidP="00C70646">
      <w:pPr>
        <w:jc w:val="both"/>
        <w:rPr>
          <w:sz w:val="20"/>
          <w:szCs w:val="20"/>
        </w:rPr>
      </w:pPr>
      <w:r w:rsidRPr="00907AB2">
        <w:rPr>
          <w:sz w:val="20"/>
          <w:szCs w:val="20"/>
        </w:rPr>
        <w:t xml:space="preserve">Der </w:t>
      </w:r>
      <w:r w:rsidR="00A7217C">
        <w:rPr>
          <w:sz w:val="20"/>
          <w:szCs w:val="20"/>
        </w:rPr>
        <w:t>Auftraggeber</w:t>
      </w:r>
      <w:r w:rsidRPr="00907AB2">
        <w:rPr>
          <w:sz w:val="20"/>
          <w:szCs w:val="20"/>
        </w:rPr>
        <w:t xml:space="preserve"> oder seine Beauftragten </w:t>
      </w:r>
      <w:r w:rsidR="00C551B8" w:rsidRPr="00C551B8">
        <w:rPr>
          <w:sz w:val="20"/>
          <w:szCs w:val="20"/>
        </w:rPr>
        <w:t>sind verpflichtet</w:t>
      </w:r>
      <w:r w:rsidRPr="00907AB2">
        <w:rPr>
          <w:sz w:val="20"/>
          <w:szCs w:val="20"/>
        </w:rPr>
        <w:t xml:space="preserve">, die </w:t>
      </w:r>
      <w:r w:rsidR="00190F4D">
        <w:rPr>
          <w:sz w:val="20"/>
          <w:szCs w:val="20"/>
        </w:rPr>
        <w:t>D</w:t>
      </w:r>
      <w:r w:rsidRPr="00907AB2">
        <w:rPr>
          <w:sz w:val="20"/>
          <w:szCs w:val="20"/>
        </w:rPr>
        <w:t xml:space="preserve">urchführung </w:t>
      </w:r>
      <w:r w:rsidR="00190F4D">
        <w:rPr>
          <w:sz w:val="20"/>
          <w:szCs w:val="20"/>
        </w:rPr>
        <w:t xml:space="preserve">der klinischen Prüfung </w:t>
      </w:r>
      <w:r w:rsidRPr="00907AB2">
        <w:rPr>
          <w:sz w:val="20"/>
          <w:szCs w:val="20"/>
        </w:rPr>
        <w:t xml:space="preserve">zu überwachen. </w:t>
      </w:r>
      <w:r w:rsidR="00A7217C">
        <w:rPr>
          <w:sz w:val="20"/>
          <w:szCs w:val="20"/>
        </w:rPr>
        <w:t>Das Prüfzentrum</w:t>
      </w:r>
      <w:r w:rsidRPr="00907AB2">
        <w:rPr>
          <w:sz w:val="20"/>
          <w:szCs w:val="20"/>
        </w:rPr>
        <w:t xml:space="preserve"> gewährt nach terminlicher Absprache </w:t>
      </w:r>
      <w:r w:rsidR="002B6740">
        <w:rPr>
          <w:sz w:val="20"/>
          <w:szCs w:val="20"/>
        </w:rPr>
        <w:lastRenderedPageBreak/>
        <w:t>Mitarbeiter</w:t>
      </w:r>
      <w:r w:rsidR="001F7D4A">
        <w:rPr>
          <w:sz w:val="20"/>
          <w:szCs w:val="20"/>
        </w:rPr>
        <w:t>n</w:t>
      </w:r>
      <w:r w:rsidR="002B6740" w:rsidRPr="00907AB2">
        <w:rPr>
          <w:sz w:val="20"/>
          <w:szCs w:val="20"/>
        </w:rPr>
        <w:t xml:space="preserve"> </w:t>
      </w:r>
      <w:r w:rsidRPr="00907AB2">
        <w:rPr>
          <w:sz w:val="20"/>
          <w:szCs w:val="20"/>
        </w:rPr>
        <w:t xml:space="preserve">des Auftraggebers und/oder seinen Beauftragten den für die Überwachung der </w:t>
      </w:r>
      <w:r w:rsidR="00130262">
        <w:rPr>
          <w:sz w:val="20"/>
          <w:szCs w:val="20"/>
        </w:rPr>
        <w:t>D</w:t>
      </w:r>
      <w:r w:rsidR="00130262" w:rsidRPr="00907AB2">
        <w:rPr>
          <w:sz w:val="20"/>
          <w:szCs w:val="20"/>
        </w:rPr>
        <w:t xml:space="preserve">urchführung </w:t>
      </w:r>
      <w:r w:rsidR="00130262">
        <w:rPr>
          <w:sz w:val="20"/>
          <w:szCs w:val="20"/>
        </w:rPr>
        <w:t xml:space="preserve">der klinischen Prüfung </w:t>
      </w:r>
      <w:r w:rsidRPr="00907AB2">
        <w:rPr>
          <w:sz w:val="20"/>
          <w:szCs w:val="20"/>
        </w:rPr>
        <w:t xml:space="preserve">erforderlichen Zugang zu seinen Gebäuden, Anlagen, allen für die klinische Prüfung relevanten Unterlagen, sowie </w:t>
      </w:r>
      <w:r w:rsidR="009E72B0">
        <w:rPr>
          <w:sz w:val="20"/>
          <w:szCs w:val="20"/>
        </w:rPr>
        <w:t xml:space="preserve">zu </w:t>
      </w:r>
      <w:r w:rsidRPr="00907AB2">
        <w:rPr>
          <w:sz w:val="20"/>
          <w:szCs w:val="20"/>
        </w:rPr>
        <w:t xml:space="preserve">den Mitgliedern der Prüfgruppe. Der </w:t>
      </w:r>
      <w:r w:rsidR="00A7217C">
        <w:rPr>
          <w:sz w:val="20"/>
          <w:szCs w:val="20"/>
        </w:rPr>
        <w:t>Auftraggeber</w:t>
      </w:r>
      <w:r w:rsidRPr="00907AB2">
        <w:rPr>
          <w:sz w:val="20"/>
          <w:szCs w:val="20"/>
        </w:rPr>
        <w:t xml:space="preserve"> unterrichtet </w:t>
      </w:r>
      <w:r w:rsidR="0096256F">
        <w:rPr>
          <w:sz w:val="20"/>
          <w:szCs w:val="20"/>
        </w:rPr>
        <w:t>das Prüfzentrum</w:t>
      </w:r>
      <w:r w:rsidRPr="00907AB2">
        <w:rPr>
          <w:sz w:val="20"/>
          <w:szCs w:val="20"/>
        </w:rPr>
        <w:t xml:space="preserve"> unverzüglich über alle Überwachungsergebnisse, die die Sicherheit der </w:t>
      </w:r>
      <w:r w:rsidR="00130262">
        <w:rPr>
          <w:sz w:val="20"/>
          <w:szCs w:val="20"/>
        </w:rPr>
        <w:t>Prüfungs</w:t>
      </w:r>
      <w:r w:rsidR="00130262" w:rsidRPr="00E73BE1">
        <w:rPr>
          <w:sz w:val="20"/>
          <w:szCs w:val="20"/>
        </w:rPr>
        <w:t>teilnehmer</w:t>
      </w:r>
      <w:r w:rsidR="00130262" w:rsidRPr="00E73BE1" w:rsidDel="00E73BE1">
        <w:rPr>
          <w:sz w:val="20"/>
          <w:szCs w:val="20"/>
        </w:rPr>
        <w:t xml:space="preserve"> </w:t>
      </w:r>
      <w:r w:rsidRPr="00907AB2">
        <w:rPr>
          <w:sz w:val="20"/>
          <w:szCs w:val="20"/>
        </w:rPr>
        <w:t xml:space="preserve">beeinträchtigen oder die </w:t>
      </w:r>
      <w:r w:rsidR="00130262">
        <w:rPr>
          <w:sz w:val="20"/>
          <w:szCs w:val="20"/>
        </w:rPr>
        <w:t>D</w:t>
      </w:r>
      <w:r w:rsidR="00130262" w:rsidRPr="00907AB2">
        <w:rPr>
          <w:sz w:val="20"/>
          <w:szCs w:val="20"/>
        </w:rPr>
        <w:t xml:space="preserve">urchführung </w:t>
      </w:r>
      <w:r w:rsidR="00130262">
        <w:rPr>
          <w:sz w:val="20"/>
          <w:szCs w:val="20"/>
        </w:rPr>
        <w:t>der klinischen Prüfung</w:t>
      </w:r>
      <w:r w:rsidRPr="00907AB2">
        <w:rPr>
          <w:sz w:val="20"/>
          <w:szCs w:val="20"/>
        </w:rPr>
        <w:t xml:space="preserve"> beeinflussen könnten. </w:t>
      </w:r>
      <w:r w:rsidR="00A7217C">
        <w:rPr>
          <w:sz w:val="20"/>
          <w:szCs w:val="20"/>
        </w:rPr>
        <w:t xml:space="preserve">Das Prüfzentrum bzw. </w:t>
      </w:r>
      <w:r w:rsidRPr="00907AB2">
        <w:rPr>
          <w:sz w:val="20"/>
          <w:szCs w:val="20"/>
        </w:rPr>
        <w:t xml:space="preserve">der Prüfer setzt die </w:t>
      </w:r>
      <w:r w:rsidR="00130262">
        <w:rPr>
          <w:sz w:val="20"/>
          <w:szCs w:val="20"/>
        </w:rPr>
        <w:t>Prüfungs</w:t>
      </w:r>
      <w:r w:rsidR="00130262" w:rsidRPr="00E73BE1">
        <w:rPr>
          <w:sz w:val="20"/>
          <w:szCs w:val="20"/>
        </w:rPr>
        <w:t>teilnehmer</w:t>
      </w:r>
      <w:r w:rsidR="00E73BE1" w:rsidRPr="00E73BE1" w:rsidDel="00E73BE1">
        <w:rPr>
          <w:sz w:val="20"/>
          <w:szCs w:val="20"/>
        </w:rPr>
        <w:t xml:space="preserve"> </w:t>
      </w:r>
      <w:r w:rsidRPr="00907AB2">
        <w:rPr>
          <w:sz w:val="20"/>
          <w:szCs w:val="20"/>
        </w:rPr>
        <w:t xml:space="preserve">gegebenenfalls von diesen Ergebnissen in Kenntnis. </w:t>
      </w:r>
    </w:p>
    <w:p w14:paraId="465EEC12" w14:textId="77777777" w:rsidR="00907AB2" w:rsidRPr="00907AB2" w:rsidRDefault="00907AB2" w:rsidP="00C70646">
      <w:pPr>
        <w:jc w:val="both"/>
        <w:rPr>
          <w:sz w:val="20"/>
          <w:szCs w:val="20"/>
        </w:rPr>
      </w:pPr>
    </w:p>
    <w:p w14:paraId="42934A67" w14:textId="42C0E163" w:rsidR="00907AB2" w:rsidRPr="00D637A3" w:rsidRDefault="00B050E9" w:rsidP="00C70646">
      <w:pPr>
        <w:jc w:val="both"/>
        <w:rPr>
          <w:sz w:val="20"/>
          <w:szCs w:val="20"/>
          <w:u w:val="single"/>
        </w:rPr>
      </w:pPr>
      <w:r>
        <w:rPr>
          <w:sz w:val="20"/>
          <w:szCs w:val="20"/>
          <w:u w:val="single"/>
        </w:rPr>
        <w:t>6</w:t>
      </w:r>
      <w:r w:rsidR="00907AB2" w:rsidRPr="00D637A3">
        <w:rPr>
          <w:sz w:val="20"/>
          <w:szCs w:val="20"/>
          <w:u w:val="single"/>
        </w:rPr>
        <w:t>.2</w:t>
      </w:r>
      <w:r w:rsidR="00907AB2" w:rsidRPr="00D637A3">
        <w:rPr>
          <w:sz w:val="20"/>
          <w:szCs w:val="20"/>
          <w:u w:val="single"/>
        </w:rPr>
        <w:tab/>
        <w:t xml:space="preserve">Inspektionen. </w:t>
      </w:r>
    </w:p>
    <w:p w14:paraId="279A1F6C" w14:textId="77777777" w:rsidR="00907AB2" w:rsidRPr="00EA1F87" w:rsidRDefault="00907AB2" w:rsidP="00C70646">
      <w:pPr>
        <w:jc w:val="both"/>
        <w:rPr>
          <w:sz w:val="20"/>
          <w:szCs w:val="20"/>
        </w:rPr>
      </w:pPr>
    </w:p>
    <w:p w14:paraId="5EB42915" w14:textId="6F0E2057" w:rsidR="00907AB2" w:rsidRPr="00D637A3" w:rsidRDefault="00A7217C" w:rsidP="00C70646">
      <w:pPr>
        <w:jc w:val="both"/>
        <w:rPr>
          <w:sz w:val="20"/>
          <w:szCs w:val="20"/>
        </w:rPr>
      </w:pPr>
      <w:r w:rsidRPr="00EA1F87">
        <w:rPr>
          <w:sz w:val="20"/>
          <w:szCs w:val="20"/>
        </w:rPr>
        <w:t>Das Prüfzentrum</w:t>
      </w:r>
      <w:r w:rsidR="00907AB2" w:rsidRPr="00EA1F87">
        <w:rPr>
          <w:sz w:val="20"/>
          <w:szCs w:val="20"/>
        </w:rPr>
        <w:t xml:space="preserve"> </w:t>
      </w:r>
      <w:r w:rsidR="00C551B8" w:rsidRPr="00EA1F87">
        <w:rPr>
          <w:sz w:val="20"/>
          <w:szCs w:val="20"/>
        </w:rPr>
        <w:t>erkennt an</w:t>
      </w:r>
      <w:r w:rsidR="00907AB2" w:rsidRPr="00EA1F87">
        <w:rPr>
          <w:sz w:val="20"/>
          <w:szCs w:val="20"/>
        </w:rPr>
        <w:t xml:space="preserve">, dass die klinische Prüfung der Inspektion durch Aufsichtsbehörden weltweit unterliegt, darunter auch der US-amerikanischen FDA, und dass diese Inspektionen während und auch nach Abschluss der klinischen Prüfung erfolgen und </w:t>
      </w:r>
      <w:r w:rsidR="00CB0F60" w:rsidRPr="00EA1F87">
        <w:rPr>
          <w:sz w:val="20"/>
          <w:szCs w:val="20"/>
        </w:rPr>
        <w:t xml:space="preserve">auch </w:t>
      </w:r>
      <w:r w:rsidR="00907AB2" w:rsidRPr="00EA1F87">
        <w:rPr>
          <w:sz w:val="20"/>
          <w:szCs w:val="20"/>
        </w:rPr>
        <w:t xml:space="preserve">eine Prüfung der </w:t>
      </w:r>
      <w:r w:rsidR="00130262" w:rsidRPr="00EA1F87">
        <w:rPr>
          <w:sz w:val="20"/>
          <w:szCs w:val="20"/>
        </w:rPr>
        <w:t>für die klinische Prüfung relevanten Unterlagen</w:t>
      </w:r>
      <w:r w:rsidR="00907AB2" w:rsidRPr="00EA1F87">
        <w:rPr>
          <w:sz w:val="20"/>
          <w:szCs w:val="20"/>
        </w:rPr>
        <w:t xml:space="preserve"> beinhalten können.</w:t>
      </w:r>
    </w:p>
    <w:p w14:paraId="4098E2F8" w14:textId="77777777" w:rsidR="00907AB2" w:rsidRPr="00D637A3" w:rsidRDefault="00907AB2" w:rsidP="00C70646">
      <w:pPr>
        <w:jc w:val="both"/>
        <w:rPr>
          <w:sz w:val="20"/>
          <w:szCs w:val="20"/>
        </w:rPr>
      </w:pPr>
    </w:p>
    <w:p w14:paraId="444823DA" w14:textId="006195DD" w:rsidR="00907AB2" w:rsidRPr="00EA1F87" w:rsidRDefault="00907AB2" w:rsidP="00C70646">
      <w:pPr>
        <w:pStyle w:val="Listenabsatz"/>
        <w:numPr>
          <w:ilvl w:val="0"/>
          <w:numId w:val="4"/>
        </w:numPr>
        <w:jc w:val="both"/>
        <w:rPr>
          <w:sz w:val="20"/>
          <w:szCs w:val="20"/>
        </w:rPr>
      </w:pPr>
      <w:r w:rsidRPr="00D637A3">
        <w:rPr>
          <w:rFonts w:ascii="Verdana" w:hAnsi="Verdana"/>
          <w:sz w:val="20"/>
          <w:szCs w:val="20"/>
          <w:u w:val="single"/>
        </w:rPr>
        <w:t>Benachrichtigung</w:t>
      </w:r>
      <w:r w:rsidRPr="00D637A3">
        <w:rPr>
          <w:rFonts w:ascii="Verdana" w:hAnsi="Verdana"/>
          <w:sz w:val="20"/>
          <w:szCs w:val="20"/>
        </w:rPr>
        <w:t xml:space="preserve">. </w:t>
      </w:r>
      <w:r w:rsidR="00A7217C" w:rsidRPr="00D637A3">
        <w:rPr>
          <w:rFonts w:ascii="Verdana" w:hAnsi="Verdana"/>
          <w:sz w:val="20"/>
          <w:szCs w:val="20"/>
        </w:rPr>
        <w:t>Das Prüfzentrum</w:t>
      </w:r>
      <w:r w:rsidRPr="00D637A3">
        <w:rPr>
          <w:rFonts w:ascii="Verdana" w:hAnsi="Verdana"/>
          <w:sz w:val="20"/>
          <w:szCs w:val="20"/>
        </w:rPr>
        <w:t xml:space="preserve"> benachrichtigt den </w:t>
      </w:r>
      <w:r w:rsidR="00A7217C" w:rsidRPr="00D637A3">
        <w:rPr>
          <w:rFonts w:ascii="Verdana" w:hAnsi="Verdana"/>
          <w:sz w:val="20"/>
          <w:szCs w:val="20"/>
        </w:rPr>
        <w:t>Auftraggeber</w:t>
      </w:r>
      <w:r w:rsidRPr="00D637A3">
        <w:rPr>
          <w:rFonts w:ascii="Verdana" w:hAnsi="Verdana"/>
          <w:sz w:val="20"/>
          <w:szCs w:val="20"/>
        </w:rPr>
        <w:t xml:space="preserve"> oder seine Beauftragten </w:t>
      </w:r>
      <w:r w:rsidR="00FA6841" w:rsidRPr="00D637A3">
        <w:rPr>
          <w:rFonts w:ascii="Verdana" w:hAnsi="Verdana"/>
          <w:sz w:val="20"/>
          <w:szCs w:val="20"/>
        </w:rPr>
        <w:t>unverzüglich</w:t>
      </w:r>
      <w:r w:rsidRPr="00D637A3">
        <w:rPr>
          <w:rFonts w:ascii="Verdana" w:hAnsi="Verdana"/>
          <w:sz w:val="20"/>
          <w:szCs w:val="20"/>
        </w:rPr>
        <w:t>, wenn das Prüfzentrum in Verbindung mit der klinischen Prüfung von einer</w:t>
      </w:r>
      <w:r w:rsidRPr="00EA1F87">
        <w:rPr>
          <w:rFonts w:ascii="Verdana" w:hAnsi="Verdana"/>
          <w:sz w:val="20"/>
          <w:szCs w:val="20"/>
        </w:rPr>
        <w:t xml:space="preserve"> Aufsichtsbehörde </w:t>
      </w:r>
      <w:proofErr w:type="gramStart"/>
      <w:r w:rsidRPr="00EA1F87">
        <w:rPr>
          <w:rFonts w:ascii="Verdana" w:hAnsi="Verdana"/>
          <w:sz w:val="20"/>
          <w:szCs w:val="20"/>
        </w:rPr>
        <w:t>inspiziert</w:t>
      </w:r>
      <w:proofErr w:type="gramEnd"/>
      <w:r w:rsidRPr="00EA1F87">
        <w:rPr>
          <w:rFonts w:ascii="Verdana" w:hAnsi="Verdana"/>
          <w:sz w:val="20"/>
          <w:szCs w:val="20"/>
        </w:rPr>
        <w:t xml:space="preserve"> wird bzw. zur Inspektion vorgesehen ist. </w:t>
      </w:r>
      <w:r w:rsidR="00A7217C" w:rsidRPr="00EA1F87">
        <w:rPr>
          <w:rFonts w:ascii="Verdana" w:hAnsi="Verdana"/>
          <w:sz w:val="20"/>
          <w:szCs w:val="20"/>
        </w:rPr>
        <w:t>Das Prüfzentrum</w:t>
      </w:r>
      <w:r w:rsidRPr="00EA1F87">
        <w:rPr>
          <w:rFonts w:ascii="Verdana" w:hAnsi="Verdana"/>
          <w:sz w:val="20"/>
          <w:szCs w:val="20"/>
        </w:rPr>
        <w:t xml:space="preserve"> benachrichtigt den </w:t>
      </w:r>
      <w:r w:rsidR="00A7217C" w:rsidRPr="00EA1F87">
        <w:rPr>
          <w:rFonts w:ascii="Verdana" w:hAnsi="Verdana"/>
          <w:sz w:val="20"/>
          <w:szCs w:val="20"/>
        </w:rPr>
        <w:t>Auftraggeber</w:t>
      </w:r>
      <w:r w:rsidRPr="00EA1F87">
        <w:rPr>
          <w:rFonts w:ascii="Verdana" w:hAnsi="Verdana"/>
          <w:sz w:val="20"/>
          <w:szCs w:val="20"/>
        </w:rPr>
        <w:t xml:space="preserve"> oder seine Beauftragten auch dann, wenn am Prüfzentrum eine Inspektion zu einer anderen klinischen </w:t>
      </w:r>
      <w:r w:rsidR="00E95A46" w:rsidRPr="00EA1F87">
        <w:rPr>
          <w:rFonts w:ascii="Verdana" w:hAnsi="Verdana"/>
          <w:sz w:val="20"/>
          <w:szCs w:val="20"/>
        </w:rPr>
        <w:t>Prüfung</w:t>
      </w:r>
      <w:r w:rsidRPr="00EA1F87">
        <w:rPr>
          <w:rFonts w:ascii="Verdana" w:hAnsi="Verdana"/>
          <w:sz w:val="20"/>
          <w:szCs w:val="20"/>
        </w:rPr>
        <w:t xml:space="preserve"> </w:t>
      </w:r>
      <w:r w:rsidR="00CB0F60" w:rsidRPr="00EA1F87">
        <w:rPr>
          <w:rFonts w:ascii="Verdana" w:hAnsi="Verdana"/>
          <w:sz w:val="20"/>
          <w:szCs w:val="20"/>
        </w:rPr>
        <w:t xml:space="preserve">eines </w:t>
      </w:r>
      <w:r w:rsidRPr="00EA1F87">
        <w:rPr>
          <w:rFonts w:ascii="Verdana" w:hAnsi="Verdana"/>
          <w:sz w:val="20"/>
          <w:szCs w:val="20"/>
        </w:rPr>
        <w:t>andere</w:t>
      </w:r>
      <w:r w:rsidR="00CB0F60" w:rsidRPr="00EA1F87">
        <w:rPr>
          <w:rFonts w:ascii="Verdana" w:hAnsi="Verdana"/>
          <w:sz w:val="20"/>
          <w:szCs w:val="20"/>
        </w:rPr>
        <w:t>n</w:t>
      </w:r>
      <w:r w:rsidRPr="00EA1F87">
        <w:rPr>
          <w:rFonts w:ascii="Verdana" w:hAnsi="Verdana"/>
          <w:sz w:val="20"/>
          <w:szCs w:val="20"/>
        </w:rPr>
        <w:t xml:space="preserve"> </w:t>
      </w:r>
      <w:r w:rsidR="00FE7E99">
        <w:rPr>
          <w:rFonts w:ascii="Verdana" w:hAnsi="Verdana"/>
          <w:sz w:val="20"/>
          <w:szCs w:val="20"/>
        </w:rPr>
        <w:t>Auftraggeber</w:t>
      </w:r>
      <w:r w:rsidR="00CB0F60" w:rsidRPr="00EA1F87">
        <w:rPr>
          <w:rFonts w:ascii="Verdana" w:hAnsi="Verdana"/>
          <w:sz w:val="20"/>
          <w:szCs w:val="20"/>
        </w:rPr>
        <w:t>s</w:t>
      </w:r>
      <w:r w:rsidRPr="00EA1F87">
        <w:rPr>
          <w:rFonts w:ascii="Verdana" w:hAnsi="Verdana"/>
          <w:sz w:val="20"/>
          <w:szCs w:val="20"/>
        </w:rPr>
        <w:t xml:space="preserve"> durchgeführt wird, </w:t>
      </w:r>
      <w:r w:rsidR="00F21504" w:rsidRPr="00EA1F87">
        <w:rPr>
          <w:rFonts w:ascii="Verdana" w:hAnsi="Verdana"/>
          <w:sz w:val="20"/>
          <w:szCs w:val="20"/>
        </w:rPr>
        <w:t>sofern</w:t>
      </w:r>
      <w:r w:rsidR="009E72B0" w:rsidRPr="00EA1F87">
        <w:rPr>
          <w:rFonts w:ascii="Verdana" w:hAnsi="Verdana"/>
          <w:sz w:val="20"/>
          <w:szCs w:val="20"/>
        </w:rPr>
        <w:t xml:space="preserve"> </w:t>
      </w:r>
      <w:r w:rsidRPr="00EA1F87">
        <w:rPr>
          <w:rFonts w:ascii="Verdana" w:hAnsi="Verdana"/>
          <w:sz w:val="20"/>
          <w:szCs w:val="20"/>
        </w:rPr>
        <w:t xml:space="preserve">während der Inspektion ein </w:t>
      </w:r>
      <w:r w:rsidR="00504946" w:rsidRPr="00EA1F87">
        <w:rPr>
          <w:rFonts w:ascii="Verdana" w:hAnsi="Verdana"/>
          <w:sz w:val="20"/>
          <w:szCs w:val="20"/>
        </w:rPr>
        <w:t>kritisches oder wesentliches</w:t>
      </w:r>
      <w:r w:rsidR="00E26841" w:rsidRPr="00EA1F87">
        <w:rPr>
          <w:rFonts w:ascii="Verdana" w:hAnsi="Verdana"/>
          <w:sz w:val="20"/>
          <w:szCs w:val="20"/>
        </w:rPr>
        <w:t xml:space="preserve"> (</w:t>
      </w:r>
      <w:proofErr w:type="spellStart"/>
      <w:r w:rsidR="00E26841" w:rsidRPr="00EA1F87">
        <w:rPr>
          <w:rFonts w:ascii="Verdana" w:hAnsi="Verdana"/>
          <w:sz w:val="20"/>
          <w:szCs w:val="20"/>
        </w:rPr>
        <w:t>critical</w:t>
      </w:r>
      <w:proofErr w:type="spellEnd"/>
      <w:r w:rsidR="00E26841" w:rsidRPr="00EA1F87">
        <w:rPr>
          <w:rFonts w:ascii="Verdana" w:hAnsi="Verdana"/>
          <w:sz w:val="20"/>
          <w:szCs w:val="20"/>
        </w:rPr>
        <w:t xml:space="preserve"> </w:t>
      </w:r>
      <w:proofErr w:type="spellStart"/>
      <w:r w:rsidR="00E26841" w:rsidRPr="00EA1F87">
        <w:rPr>
          <w:rFonts w:ascii="Verdana" w:hAnsi="Verdana"/>
          <w:sz w:val="20"/>
          <w:szCs w:val="20"/>
        </w:rPr>
        <w:t>or</w:t>
      </w:r>
      <w:proofErr w:type="spellEnd"/>
      <w:r w:rsidR="00E26841" w:rsidRPr="00EA1F87">
        <w:rPr>
          <w:rFonts w:ascii="Verdana" w:hAnsi="Verdana"/>
          <w:sz w:val="20"/>
          <w:szCs w:val="20"/>
        </w:rPr>
        <w:t xml:space="preserve"> </w:t>
      </w:r>
      <w:proofErr w:type="spellStart"/>
      <w:proofErr w:type="gramStart"/>
      <w:r w:rsidR="00E26841" w:rsidRPr="00EA1F87">
        <w:rPr>
          <w:rFonts w:ascii="Verdana" w:hAnsi="Verdana"/>
          <w:sz w:val="20"/>
          <w:szCs w:val="20"/>
        </w:rPr>
        <w:t>major</w:t>
      </w:r>
      <w:proofErr w:type="spellEnd"/>
      <w:r w:rsidR="00E26841" w:rsidRPr="00EA1F87">
        <w:rPr>
          <w:rFonts w:ascii="Verdana" w:hAnsi="Verdana"/>
          <w:sz w:val="20"/>
          <w:szCs w:val="20"/>
        </w:rPr>
        <w:t>)</w:t>
      </w:r>
      <w:r w:rsidR="00455D08" w:rsidRPr="00EA1F87">
        <w:rPr>
          <w:rFonts w:ascii="Verdana" w:hAnsi="Verdana"/>
          <w:sz w:val="20"/>
          <w:szCs w:val="20"/>
          <w:vertAlign w:val="superscript"/>
        </w:rPr>
        <w:t>*</w:t>
      </w:r>
      <w:proofErr w:type="gramEnd"/>
      <w:r w:rsidR="00504946" w:rsidRPr="00EA1F87">
        <w:rPr>
          <w:rFonts w:ascii="Verdana" w:hAnsi="Verdana"/>
          <w:sz w:val="20"/>
          <w:szCs w:val="20"/>
        </w:rPr>
        <w:t xml:space="preserve"> </w:t>
      </w:r>
      <w:proofErr w:type="spellStart"/>
      <w:r w:rsidRPr="00EA1F87">
        <w:rPr>
          <w:rFonts w:ascii="Verdana" w:hAnsi="Verdana"/>
          <w:sz w:val="20"/>
          <w:szCs w:val="20"/>
        </w:rPr>
        <w:t>Finding</w:t>
      </w:r>
      <w:proofErr w:type="spellEnd"/>
      <w:r w:rsidRPr="00EA1F87">
        <w:rPr>
          <w:rFonts w:ascii="Verdana" w:hAnsi="Verdana"/>
          <w:sz w:val="20"/>
          <w:szCs w:val="20"/>
        </w:rPr>
        <w:t xml:space="preserve"> </w:t>
      </w:r>
      <w:r w:rsidR="00173100" w:rsidRPr="00EA1F87">
        <w:rPr>
          <w:rFonts w:ascii="Verdana" w:hAnsi="Verdana"/>
          <w:sz w:val="20"/>
          <w:szCs w:val="20"/>
        </w:rPr>
        <w:t xml:space="preserve">festgestellt </w:t>
      </w:r>
      <w:r w:rsidRPr="00EA1F87">
        <w:rPr>
          <w:rFonts w:ascii="Verdana" w:hAnsi="Verdana"/>
          <w:sz w:val="20"/>
          <w:szCs w:val="20"/>
        </w:rPr>
        <w:t xml:space="preserve">wurde, </w:t>
      </w:r>
      <w:r w:rsidR="007F6133" w:rsidRPr="00EA1F87">
        <w:rPr>
          <w:rFonts w:ascii="Verdana" w:hAnsi="Verdana"/>
          <w:sz w:val="20"/>
          <w:szCs w:val="20"/>
        </w:rPr>
        <w:t>dem</w:t>
      </w:r>
      <w:r w:rsidRPr="00EA1F87">
        <w:rPr>
          <w:rFonts w:ascii="Verdana" w:hAnsi="Verdana"/>
          <w:sz w:val="20"/>
          <w:szCs w:val="20"/>
        </w:rPr>
        <w:t xml:space="preserve"> </w:t>
      </w:r>
      <w:r w:rsidR="00190F4D" w:rsidRPr="00EA1F87">
        <w:rPr>
          <w:rFonts w:ascii="Verdana" w:hAnsi="Verdana"/>
          <w:sz w:val="20"/>
          <w:szCs w:val="20"/>
        </w:rPr>
        <w:t xml:space="preserve">prüfungsübergreifend </w:t>
      </w:r>
      <w:r w:rsidR="00CD66EE" w:rsidRPr="00EA1F87">
        <w:rPr>
          <w:rFonts w:ascii="Verdana" w:hAnsi="Verdana"/>
          <w:sz w:val="20"/>
          <w:szCs w:val="20"/>
        </w:rPr>
        <w:t xml:space="preserve">für die vertragsgegenständliche klinische Prüfung </w:t>
      </w:r>
      <w:r w:rsidR="007F6133" w:rsidRPr="00EA1F87">
        <w:rPr>
          <w:rFonts w:ascii="Verdana" w:hAnsi="Verdana"/>
          <w:sz w:val="20"/>
          <w:szCs w:val="20"/>
        </w:rPr>
        <w:t>eine Gefährdung der</w:t>
      </w:r>
      <w:r w:rsidR="00B772C2" w:rsidRPr="00EA1F87">
        <w:rPr>
          <w:rFonts w:ascii="Verdana" w:hAnsi="Verdana"/>
          <w:sz w:val="20"/>
          <w:szCs w:val="20"/>
        </w:rPr>
        <w:t xml:space="preserve"> Patientensicherheit und</w:t>
      </w:r>
      <w:r w:rsidR="007F6133" w:rsidRPr="00EA1F87">
        <w:rPr>
          <w:rFonts w:ascii="Verdana" w:hAnsi="Verdana"/>
          <w:sz w:val="20"/>
          <w:szCs w:val="20"/>
        </w:rPr>
        <w:t>/oder</w:t>
      </w:r>
      <w:r w:rsidR="00B772C2" w:rsidRPr="00EA1F87">
        <w:rPr>
          <w:rFonts w:ascii="Verdana" w:hAnsi="Verdana"/>
          <w:sz w:val="20"/>
          <w:szCs w:val="20"/>
        </w:rPr>
        <w:t xml:space="preserve"> </w:t>
      </w:r>
      <w:r w:rsidR="007F6133" w:rsidRPr="00EA1F87">
        <w:rPr>
          <w:rFonts w:ascii="Verdana" w:hAnsi="Verdana"/>
          <w:sz w:val="20"/>
          <w:szCs w:val="20"/>
        </w:rPr>
        <w:t>der</w:t>
      </w:r>
      <w:r w:rsidR="001B6494" w:rsidRPr="00EA1F87">
        <w:rPr>
          <w:rFonts w:ascii="Verdana" w:hAnsi="Verdana"/>
          <w:sz w:val="20"/>
          <w:szCs w:val="20"/>
        </w:rPr>
        <w:t xml:space="preserve"> </w:t>
      </w:r>
      <w:r w:rsidR="00B772C2" w:rsidRPr="00EA1F87">
        <w:rPr>
          <w:rFonts w:ascii="Verdana" w:hAnsi="Verdana"/>
          <w:sz w:val="20"/>
          <w:szCs w:val="20"/>
        </w:rPr>
        <w:t xml:space="preserve">Datenintegrität am Prüfzentrum </w:t>
      </w:r>
      <w:r w:rsidR="007F6133" w:rsidRPr="00EA1F87">
        <w:rPr>
          <w:rFonts w:ascii="Verdana" w:hAnsi="Verdana"/>
          <w:sz w:val="20"/>
          <w:szCs w:val="20"/>
        </w:rPr>
        <w:t xml:space="preserve">zugrunde liegt </w:t>
      </w:r>
      <w:r w:rsidRPr="00EA1F87">
        <w:rPr>
          <w:rFonts w:ascii="Verdana" w:hAnsi="Verdana"/>
          <w:sz w:val="20"/>
          <w:szCs w:val="20"/>
        </w:rPr>
        <w:t xml:space="preserve">. </w:t>
      </w:r>
    </w:p>
    <w:p w14:paraId="1E944148" w14:textId="7C20BBFA" w:rsidR="00B772C2" w:rsidRPr="00EA1F87" w:rsidRDefault="00B772C2" w:rsidP="00C70646">
      <w:pPr>
        <w:pStyle w:val="Listenabsatz"/>
        <w:jc w:val="both"/>
        <w:rPr>
          <w:sz w:val="20"/>
          <w:szCs w:val="20"/>
        </w:rPr>
      </w:pPr>
    </w:p>
    <w:p w14:paraId="55CB0DC3" w14:textId="4125A662" w:rsidR="00455D08" w:rsidRPr="00B95166" w:rsidRDefault="00B95166" w:rsidP="00455D08">
      <w:pPr>
        <w:pStyle w:val="Listenabsatz"/>
        <w:jc w:val="both"/>
        <w:rPr>
          <w:rFonts w:ascii="Verdana" w:hAnsi="Verdana" w:cs="Arial"/>
          <w:i/>
          <w:sz w:val="18"/>
          <w:szCs w:val="18"/>
        </w:rPr>
      </w:pPr>
      <w:proofErr w:type="gramStart"/>
      <w:r w:rsidRPr="00B95166">
        <w:rPr>
          <w:rFonts w:ascii="Verdana" w:hAnsi="Verdana" w:cs="Arial"/>
          <w:i/>
          <w:sz w:val="18"/>
          <w:szCs w:val="18"/>
          <w:highlight w:val="lightGray"/>
          <w:u w:val="single"/>
        </w:rPr>
        <w:t>Hinweis</w:t>
      </w:r>
      <w:r w:rsidRPr="00B95166">
        <w:rPr>
          <w:rFonts w:ascii="Verdana" w:hAnsi="Verdana" w:cs="Arial"/>
          <w:i/>
          <w:sz w:val="18"/>
          <w:szCs w:val="18"/>
          <w:highlight w:val="lightGray"/>
        </w:rPr>
        <w:t>:</w:t>
      </w:r>
      <w:r w:rsidR="00455D08" w:rsidRPr="00B95166">
        <w:rPr>
          <w:rFonts w:ascii="Verdana" w:hAnsi="Verdana" w:cs="Arial"/>
          <w:i/>
          <w:sz w:val="18"/>
          <w:szCs w:val="18"/>
          <w:highlight w:val="lightGray"/>
        </w:rPr>
        <w:t>*</w:t>
      </w:r>
      <w:proofErr w:type="gramEnd"/>
      <w:r w:rsidR="00455D08" w:rsidRPr="00B95166">
        <w:rPr>
          <w:rFonts w:ascii="Verdana" w:hAnsi="Verdana" w:cs="Arial"/>
          <w:i/>
          <w:sz w:val="18"/>
          <w:szCs w:val="18"/>
          <w:highlight w:val="lightGray"/>
        </w:rPr>
        <w:t xml:space="preserve"> Es bleibt den Vertragsparteien überlassen, individuell die Schwelle zur Benachrichtigung mit Blick </w:t>
      </w:r>
      <w:r w:rsidR="00B84739" w:rsidRPr="00B95166">
        <w:rPr>
          <w:rFonts w:ascii="Verdana" w:hAnsi="Verdana" w:cs="Arial"/>
          <w:i/>
          <w:sz w:val="18"/>
          <w:szCs w:val="18"/>
          <w:highlight w:val="lightGray"/>
        </w:rPr>
        <w:t>die</w:t>
      </w:r>
      <w:r w:rsidR="00455D08" w:rsidRPr="00B95166">
        <w:rPr>
          <w:rFonts w:ascii="Verdana" w:hAnsi="Verdana" w:cs="Arial"/>
          <w:i/>
          <w:sz w:val="18"/>
          <w:szCs w:val="18"/>
          <w:highlight w:val="lightGray"/>
        </w:rPr>
        <w:t xml:space="preserve"> jeweilige klinische Prüfung vertraglich festzulegen.</w:t>
      </w:r>
    </w:p>
    <w:p w14:paraId="626F0822" w14:textId="77777777" w:rsidR="00455D08" w:rsidRPr="00EA1F87" w:rsidRDefault="00455D08" w:rsidP="00C70646">
      <w:pPr>
        <w:pStyle w:val="Listenabsatz"/>
        <w:jc w:val="both"/>
        <w:rPr>
          <w:sz w:val="20"/>
          <w:szCs w:val="20"/>
        </w:rPr>
      </w:pPr>
    </w:p>
    <w:p w14:paraId="38992DE4" w14:textId="4C3738B7" w:rsidR="00907AB2" w:rsidRPr="00EA1F87" w:rsidRDefault="00907AB2" w:rsidP="00C70646">
      <w:pPr>
        <w:pStyle w:val="Listenabsatz"/>
        <w:numPr>
          <w:ilvl w:val="0"/>
          <w:numId w:val="4"/>
        </w:numPr>
        <w:jc w:val="both"/>
        <w:rPr>
          <w:rFonts w:ascii="Verdana" w:hAnsi="Verdana"/>
          <w:sz w:val="20"/>
          <w:szCs w:val="20"/>
        </w:rPr>
      </w:pPr>
      <w:r w:rsidRPr="00EA1F87">
        <w:rPr>
          <w:rFonts w:ascii="Verdana" w:hAnsi="Verdana"/>
          <w:sz w:val="20"/>
          <w:szCs w:val="20"/>
          <w:u w:val="single"/>
        </w:rPr>
        <w:t>Anwesenheitsrecht bei Inspektionen</w:t>
      </w:r>
      <w:r w:rsidRPr="00EA1F87">
        <w:rPr>
          <w:rFonts w:ascii="Verdana" w:hAnsi="Verdana"/>
          <w:sz w:val="20"/>
          <w:szCs w:val="20"/>
        </w:rPr>
        <w:t xml:space="preserve">. Sofern eine Inspektion oder aufsichtsbehördliche Maßnahme die </w:t>
      </w:r>
      <w:bookmarkStart w:id="4" w:name="_Hlk536022897"/>
      <w:r w:rsidRPr="00EA1F87">
        <w:rPr>
          <w:rFonts w:ascii="Verdana" w:hAnsi="Verdana"/>
          <w:sz w:val="20"/>
          <w:szCs w:val="20"/>
        </w:rPr>
        <w:t xml:space="preserve">vertragsgegenständliche Prüfung </w:t>
      </w:r>
      <w:bookmarkEnd w:id="4"/>
      <w:r w:rsidRPr="00EA1F87">
        <w:rPr>
          <w:rFonts w:ascii="Verdana" w:hAnsi="Verdana"/>
          <w:sz w:val="20"/>
          <w:szCs w:val="20"/>
        </w:rPr>
        <w:t xml:space="preserve">betrifft, haben der </w:t>
      </w:r>
      <w:r w:rsidR="00A7217C" w:rsidRPr="00EA1F87">
        <w:rPr>
          <w:rFonts w:ascii="Verdana" w:hAnsi="Verdana"/>
          <w:sz w:val="20"/>
          <w:szCs w:val="20"/>
        </w:rPr>
        <w:t>Auftraggeber</w:t>
      </w:r>
      <w:r w:rsidRPr="00EA1F87">
        <w:rPr>
          <w:rFonts w:ascii="Verdana" w:hAnsi="Verdana"/>
          <w:sz w:val="20"/>
          <w:szCs w:val="20"/>
        </w:rPr>
        <w:t xml:space="preserve"> und/oder seine Beauftragten das Recht, </w:t>
      </w:r>
      <w:r w:rsidR="002E4588" w:rsidRPr="00EA1F87">
        <w:rPr>
          <w:rFonts w:ascii="Verdana" w:hAnsi="Verdana"/>
          <w:sz w:val="20"/>
          <w:szCs w:val="20"/>
        </w:rPr>
        <w:t>bezüglich der</w:t>
      </w:r>
      <w:r w:rsidR="002E4588" w:rsidRPr="00EA1F87">
        <w:t xml:space="preserve"> </w:t>
      </w:r>
      <w:r w:rsidR="002E4588" w:rsidRPr="00EA1F87">
        <w:rPr>
          <w:rFonts w:ascii="Verdana" w:hAnsi="Verdana"/>
          <w:sz w:val="20"/>
          <w:szCs w:val="20"/>
        </w:rPr>
        <w:t xml:space="preserve">vertragsgegenständlichen Prüfung </w:t>
      </w:r>
      <w:r w:rsidRPr="00EA1F87">
        <w:rPr>
          <w:rFonts w:ascii="Verdana" w:hAnsi="Verdana"/>
          <w:sz w:val="20"/>
          <w:szCs w:val="20"/>
        </w:rPr>
        <w:t>während dieser Inspektionen anwesend zu sein.</w:t>
      </w:r>
    </w:p>
    <w:p w14:paraId="67824949" w14:textId="77777777" w:rsidR="00A612BF" w:rsidRPr="00EA1F87" w:rsidRDefault="00A612BF" w:rsidP="00C70646">
      <w:pPr>
        <w:pStyle w:val="Listenabsatz"/>
        <w:jc w:val="both"/>
        <w:rPr>
          <w:rFonts w:ascii="Verdana" w:hAnsi="Verdana"/>
          <w:sz w:val="20"/>
          <w:szCs w:val="20"/>
        </w:rPr>
      </w:pPr>
    </w:p>
    <w:p w14:paraId="0C425DF9" w14:textId="1A22C714" w:rsidR="00A612BF" w:rsidRPr="00EA1F87" w:rsidRDefault="00A612BF" w:rsidP="00C70646">
      <w:pPr>
        <w:pStyle w:val="Listenabsatz"/>
        <w:numPr>
          <w:ilvl w:val="0"/>
          <w:numId w:val="4"/>
        </w:numPr>
        <w:jc w:val="both"/>
        <w:rPr>
          <w:rFonts w:ascii="Verdana" w:hAnsi="Verdana"/>
          <w:sz w:val="20"/>
          <w:szCs w:val="20"/>
        </w:rPr>
      </w:pPr>
      <w:r w:rsidRPr="00EA1F87">
        <w:rPr>
          <w:rFonts w:ascii="Verdana" w:hAnsi="Verdana"/>
          <w:sz w:val="20"/>
          <w:szCs w:val="20"/>
          <w:u w:val="single"/>
        </w:rPr>
        <w:t>Inspektionsergebnisse und Stellungnahmen</w:t>
      </w:r>
      <w:r w:rsidRPr="00EA1F87">
        <w:rPr>
          <w:rFonts w:ascii="Verdana" w:hAnsi="Verdana"/>
          <w:sz w:val="20"/>
          <w:szCs w:val="20"/>
        </w:rPr>
        <w:t xml:space="preserve">. </w:t>
      </w:r>
      <w:r w:rsidR="00A7217C" w:rsidRPr="00EA1F87">
        <w:rPr>
          <w:rFonts w:ascii="Verdana" w:hAnsi="Verdana"/>
          <w:sz w:val="20"/>
          <w:szCs w:val="20"/>
        </w:rPr>
        <w:t>Das Prüfzentrum</w:t>
      </w:r>
      <w:r w:rsidRPr="00EA1F87">
        <w:rPr>
          <w:rFonts w:ascii="Verdana" w:hAnsi="Verdana"/>
          <w:sz w:val="20"/>
          <w:szCs w:val="20"/>
        </w:rPr>
        <w:t xml:space="preserve"> lässt dem </w:t>
      </w:r>
      <w:r w:rsidR="00A7217C" w:rsidRPr="00EA1F87">
        <w:rPr>
          <w:rFonts w:ascii="Verdana" w:hAnsi="Verdana"/>
          <w:sz w:val="20"/>
          <w:szCs w:val="20"/>
        </w:rPr>
        <w:t>Auftraggeber</w:t>
      </w:r>
      <w:r w:rsidRPr="00EA1F87">
        <w:rPr>
          <w:rFonts w:ascii="Verdana" w:hAnsi="Verdana"/>
          <w:sz w:val="20"/>
          <w:szCs w:val="20"/>
        </w:rPr>
        <w:t xml:space="preserve"> oder seinen Beauftragten </w:t>
      </w:r>
      <w:r w:rsidR="002E4588" w:rsidRPr="00EA1F87">
        <w:rPr>
          <w:rFonts w:ascii="Verdana" w:hAnsi="Verdana"/>
          <w:sz w:val="20"/>
          <w:szCs w:val="20"/>
        </w:rPr>
        <w:t xml:space="preserve">unverzüglich </w:t>
      </w:r>
      <w:r w:rsidRPr="00EA1F87">
        <w:rPr>
          <w:rFonts w:ascii="Verdana" w:hAnsi="Verdana"/>
          <w:sz w:val="20"/>
          <w:szCs w:val="20"/>
        </w:rPr>
        <w:t xml:space="preserve">Kopien aller Inspektionsergebnisse zukommen, die </w:t>
      </w:r>
      <w:r w:rsidR="00A7217C" w:rsidRPr="00EA1F87">
        <w:rPr>
          <w:rFonts w:ascii="Verdana" w:hAnsi="Verdana"/>
          <w:sz w:val="20"/>
          <w:szCs w:val="20"/>
        </w:rPr>
        <w:t>das Prüfzentrum</w:t>
      </w:r>
      <w:r w:rsidRPr="00EA1F87">
        <w:rPr>
          <w:rFonts w:ascii="Verdana" w:hAnsi="Verdana"/>
          <w:sz w:val="20"/>
          <w:szCs w:val="20"/>
        </w:rPr>
        <w:t xml:space="preserve"> in Verbindung mit der klinischen Prüfung von einer Aufsichtsbehörde erhält. Bevor </w:t>
      </w:r>
      <w:r w:rsidR="00A7217C" w:rsidRPr="00EA1F87">
        <w:rPr>
          <w:rFonts w:ascii="Verdana" w:hAnsi="Verdana"/>
          <w:sz w:val="20"/>
          <w:szCs w:val="20"/>
        </w:rPr>
        <w:t>das Prüfzentrum</w:t>
      </w:r>
      <w:r w:rsidRPr="00EA1F87">
        <w:rPr>
          <w:rFonts w:ascii="Verdana" w:hAnsi="Verdana"/>
          <w:sz w:val="20"/>
          <w:szCs w:val="20"/>
        </w:rPr>
        <w:t xml:space="preserve"> auf eventuelle Feststellungen aus einer aufsichtsbehördlichen Inspektion antworte</w:t>
      </w:r>
      <w:r w:rsidR="00855A79" w:rsidRPr="00EA1F87">
        <w:rPr>
          <w:rFonts w:ascii="Verdana" w:hAnsi="Verdana"/>
          <w:sz w:val="20"/>
          <w:szCs w:val="20"/>
        </w:rPr>
        <w:t>t</w:t>
      </w:r>
      <w:r w:rsidRPr="00EA1F87">
        <w:rPr>
          <w:rFonts w:ascii="Verdana" w:hAnsi="Verdana"/>
          <w:sz w:val="20"/>
          <w:szCs w:val="20"/>
        </w:rPr>
        <w:t xml:space="preserve">, wird sie/er die Antwort – soweit gesetzlich zulässig – mit dem </w:t>
      </w:r>
      <w:r w:rsidR="00A7217C" w:rsidRPr="00EA1F87">
        <w:rPr>
          <w:rFonts w:ascii="Verdana" w:hAnsi="Verdana"/>
          <w:sz w:val="20"/>
          <w:szCs w:val="20"/>
        </w:rPr>
        <w:t>Auftraggeber</w:t>
      </w:r>
      <w:r w:rsidRPr="00EA1F87">
        <w:rPr>
          <w:rFonts w:ascii="Verdana" w:hAnsi="Verdana"/>
          <w:sz w:val="20"/>
          <w:szCs w:val="20"/>
        </w:rPr>
        <w:t xml:space="preserve"> besprechen und abstimmen.</w:t>
      </w:r>
    </w:p>
    <w:p w14:paraId="7D22B2D5" w14:textId="77777777" w:rsidR="0091456B" w:rsidRDefault="0091456B" w:rsidP="00D637A3">
      <w:pPr>
        <w:jc w:val="both"/>
        <w:rPr>
          <w:sz w:val="20"/>
          <w:szCs w:val="20"/>
          <w:u w:val="single"/>
        </w:rPr>
      </w:pPr>
    </w:p>
    <w:p w14:paraId="3C3EA7FA" w14:textId="37338AB8" w:rsidR="00D637A3" w:rsidRPr="00EA1F87" w:rsidRDefault="00B050E9" w:rsidP="00D637A3">
      <w:pPr>
        <w:jc w:val="both"/>
        <w:rPr>
          <w:sz w:val="20"/>
          <w:szCs w:val="20"/>
        </w:rPr>
      </w:pPr>
      <w:r>
        <w:rPr>
          <w:sz w:val="20"/>
          <w:szCs w:val="20"/>
          <w:u w:val="single"/>
        </w:rPr>
        <w:t>6</w:t>
      </w:r>
      <w:r w:rsidR="00D637A3" w:rsidRPr="00EA1F87">
        <w:rPr>
          <w:sz w:val="20"/>
          <w:szCs w:val="20"/>
          <w:u w:val="single"/>
        </w:rPr>
        <w:t>.</w:t>
      </w:r>
      <w:r w:rsidR="00D637A3">
        <w:rPr>
          <w:sz w:val="20"/>
          <w:szCs w:val="20"/>
          <w:u w:val="single"/>
        </w:rPr>
        <w:t>3</w:t>
      </w:r>
      <w:r w:rsidR="00D637A3" w:rsidRPr="00EA1F87">
        <w:rPr>
          <w:sz w:val="20"/>
          <w:szCs w:val="20"/>
          <w:u w:val="single"/>
        </w:rPr>
        <w:t xml:space="preserve"> </w:t>
      </w:r>
      <w:r w:rsidR="00D637A3" w:rsidRPr="00EA1F87">
        <w:rPr>
          <w:sz w:val="20"/>
          <w:szCs w:val="20"/>
          <w:u w:val="single"/>
        </w:rPr>
        <w:tab/>
      </w:r>
      <w:r w:rsidR="00D637A3">
        <w:rPr>
          <w:sz w:val="20"/>
          <w:szCs w:val="20"/>
          <w:u w:val="single"/>
        </w:rPr>
        <w:t>Kooperation</w:t>
      </w:r>
      <w:r w:rsidR="00D637A3" w:rsidRPr="00EA1F87">
        <w:rPr>
          <w:sz w:val="20"/>
          <w:szCs w:val="20"/>
        </w:rPr>
        <w:t xml:space="preserve">. </w:t>
      </w:r>
    </w:p>
    <w:p w14:paraId="691BD4DF" w14:textId="77777777" w:rsidR="00907AB2" w:rsidRPr="00D637A3" w:rsidRDefault="00907AB2" w:rsidP="00C70646">
      <w:pPr>
        <w:jc w:val="both"/>
        <w:rPr>
          <w:sz w:val="20"/>
          <w:szCs w:val="20"/>
          <w:u w:val="single"/>
        </w:rPr>
      </w:pPr>
    </w:p>
    <w:p w14:paraId="1D6DBFF0" w14:textId="4E9E4B77" w:rsidR="00A612BF" w:rsidRPr="00EA1F87" w:rsidRDefault="00A7217C" w:rsidP="00C70646">
      <w:pPr>
        <w:jc w:val="both"/>
        <w:rPr>
          <w:sz w:val="20"/>
          <w:szCs w:val="20"/>
        </w:rPr>
      </w:pPr>
      <w:r w:rsidRPr="00EA1F87">
        <w:rPr>
          <w:sz w:val="20"/>
          <w:szCs w:val="20"/>
        </w:rPr>
        <w:t>Das Prüfzentrum</w:t>
      </w:r>
      <w:r w:rsidR="00A612BF" w:rsidRPr="00EA1F87">
        <w:rPr>
          <w:sz w:val="20"/>
          <w:szCs w:val="20"/>
        </w:rPr>
        <w:t xml:space="preserve"> kooperiert mit Vertretern der Aufsichtsbehörde, des Auftraggebers oder von diesem Beauftragten bei der Durchführung von Inspektionen, Monitoring und Audits und stellt sicher, dass </w:t>
      </w:r>
      <w:r w:rsidR="00601E3B" w:rsidRPr="00EA1F87">
        <w:rPr>
          <w:sz w:val="20"/>
          <w:szCs w:val="20"/>
        </w:rPr>
        <w:t xml:space="preserve">die </w:t>
      </w:r>
      <w:r w:rsidR="00190F4D" w:rsidRPr="00EA1F87">
        <w:rPr>
          <w:iCs/>
          <w:sz w:val="20"/>
          <w:szCs w:val="20"/>
        </w:rPr>
        <w:t>Prüfungsdokumentation</w:t>
      </w:r>
      <w:r w:rsidR="00601E3B" w:rsidRPr="00EA1F87">
        <w:rPr>
          <w:iCs/>
          <w:sz w:val="20"/>
          <w:szCs w:val="20"/>
        </w:rPr>
        <w:t>en</w:t>
      </w:r>
      <w:r w:rsidR="00A612BF" w:rsidRPr="00EA1F87">
        <w:rPr>
          <w:sz w:val="20"/>
          <w:szCs w:val="20"/>
        </w:rPr>
        <w:t xml:space="preserve"> auf eine Weise geführt werden, die diesen Aktivitäten uneingeschränkt zugänglich sind. Es besteht eine generelle Pflicht </w:t>
      </w:r>
      <w:r w:rsidR="0096256F" w:rsidRPr="00EA1F87">
        <w:rPr>
          <w:sz w:val="20"/>
          <w:szCs w:val="20"/>
        </w:rPr>
        <w:t>des Prüfzentrums</w:t>
      </w:r>
      <w:r w:rsidR="00855A79" w:rsidRPr="00EA1F87">
        <w:rPr>
          <w:sz w:val="20"/>
          <w:szCs w:val="20"/>
        </w:rPr>
        <w:t>,</w:t>
      </w:r>
      <w:r w:rsidR="00A612BF" w:rsidRPr="00EA1F87">
        <w:rPr>
          <w:sz w:val="20"/>
          <w:szCs w:val="20"/>
        </w:rPr>
        <w:t xml:space="preserve"> alle Maßnahmen zu ergreifen, um die im Rahmen eines Audits/Monitoring bzw. Inspektion festgestellten Mängel zu beseitigen.</w:t>
      </w:r>
    </w:p>
    <w:p w14:paraId="166929D7" w14:textId="77777777" w:rsidR="00A612BF" w:rsidRPr="00EA1F87" w:rsidRDefault="00A612BF" w:rsidP="00C70646">
      <w:pPr>
        <w:jc w:val="both"/>
        <w:rPr>
          <w:sz w:val="20"/>
          <w:szCs w:val="20"/>
        </w:rPr>
      </w:pPr>
    </w:p>
    <w:p w14:paraId="5B76D3CD" w14:textId="62109495" w:rsidR="00A612BF" w:rsidRPr="00EA1F87" w:rsidRDefault="00B050E9" w:rsidP="00C70646">
      <w:pPr>
        <w:jc w:val="both"/>
        <w:rPr>
          <w:sz w:val="20"/>
          <w:szCs w:val="20"/>
        </w:rPr>
      </w:pPr>
      <w:r>
        <w:rPr>
          <w:sz w:val="20"/>
          <w:szCs w:val="20"/>
          <w:u w:val="single"/>
        </w:rPr>
        <w:t>6</w:t>
      </w:r>
      <w:r w:rsidR="00A612BF" w:rsidRPr="00EA1F87">
        <w:rPr>
          <w:sz w:val="20"/>
          <w:szCs w:val="20"/>
          <w:u w:val="single"/>
        </w:rPr>
        <w:t xml:space="preserve">.4 </w:t>
      </w:r>
      <w:r w:rsidR="00A612BF" w:rsidRPr="00EA1F87">
        <w:rPr>
          <w:sz w:val="20"/>
          <w:szCs w:val="20"/>
          <w:u w:val="single"/>
        </w:rPr>
        <w:tab/>
        <w:t>Klärung von Unstimmigkeiten</w:t>
      </w:r>
      <w:r w:rsidR="00A612BF" w:rsidRPr="00EA1F87">
        <w:rPr>
          <w:sz w:val="20"/>
          <w:szCs w:val="20"/>
        </w:rPr>
        <w:t xml:space="preserve">. </w:t>
      </w:r>
    </w:p>
    <w:p w14:paraId="78A8503D" w14:textId="77777777" w:rsidR="00A612BF" w:rsidRPr="00EA1F87" w:rsidRDefault="00A612BF" w:rsidP="00C70646">
      <w:pPr>
        <w:jc w:val="both"/>
        <w:rPr>
          <w:sz w:val="20"/>
          <w:szCs w:val="20"/>
        </w:rPr>
      </w:pPr>
    </w:p>
    <w:p w14:paraId="6C1B1C29" w14:textId="7B5AA550" w:rsidR="00A612BF" w:rsidRPr="00EA1F87" w:rsidRDefault="00A7217C" w:rsidP="00C70646">
      <w:pPr>
        <w:jc w:val="both"/>
        <w:rPr>
          <w:sz w:val="20"/>
          <w:szCs w:val="20"/>
        </w:rPr>
      </w:pPr>
      <w:r w:rsidRPr="00EA1F87">
        <w:rPr>
          <w:sz w:val="20"/>
          <w:szCs w:val="20"/>
        </w:rPr>
        <w:lastRenderedPageBreak/>
        <w:t>Das Prüfzentrum</w:t>
      </w:r>
      <w:r w:rsidR="00A612BF" w:rsidRPr="00EA1F87">
        <w:rPr>
          <w:sz w:val="20"/>
          <w:szCs w:val="20"/>
        </w:rPr>
        <w:t xml:space="preserve"> klärt unverzüglich alle zwischen den Studiendaten und den medizinischen Unterlagen de</w:t>
      </w:r>
      <w:r w:rsidR="00E73BE1" w:rsidRPr="00EA1F87">
        <w:rPr>
          <w:sz w:val="20"/>
          <w:szCs w:val="20"/>
        </w:rPr>
        <w:t>r</w:t>
      </w:r>
      <w:r w:rsidR="00A612BF" w:rsidRPr="00EA1F87">
        <w:rPr>
          <w:sz w:val="20"/>
          <w:szCs w:val="20"/>
        </w:rPr>
        <w:t xml:space="preserve"> </w:t>
      </w:r>
      <w:r w:rsidR="00CB0F60" w:rsidRPr="00EA1F87">
        <w:rPr>
          <w:sz w:val="20"/>
          <w:szCs w:val="20"/>
        </w:rPr>
        <w:t>Prüfungsteilnehmer</w:t>
      </w:r>
      <w:r w:rsidR="00CB0F60" w:rsidRPr="00EA1F87" w:rsidDel="00E73BE1">
        <w:rPr>
          <w:sz w:val="20"/>
          <w:szCs w:val="20"/>
        </w:rPr>
        <w:t xml:space="preserve"> </w:t>
      </w:r>
      <w:r w:rsidR="00A612BF" w:rsidRPr="00EA1F87">
        <w:rPr>
          <w:sz w:val="20"/>
          <w:szCs w:val="20"/>
        </w:rPr>
        <w:t>festgestellten Unstimmigkeiten.</w:t>
      </w:r>
    </w:p>
    <w:p w14:paraId="67142F3A" w14:textId="77777777" w:rsidR="00907AB2" w:rsidRPr="00EA1F87" w:rsidRDefault="00907AB2" w:rsidP="00C70646">
      <w:pPr>
        <w:jc w:val="both"/>
        <w:rPr>
          <w:sz w:val="20"/>
          <w:szCs w:val="20"/>
        </w:rPr>
      </w:pPr>
    </w:p>
    <w:p w14:paraId="58122754" w14:textId="5873C2D1" w:rsidR="007E6AF6" w:rsidRPr="00EA1F87" w:rsidRDefault="00B050E9" w:rsidP="00C70646">
      <w:pPr>
        <w:jc w:val="both"/>
        <w:rPr>
          <w:sz w:val="20"/>
          <w:szCs w:val="20"/>
        </w:rPr>
      </w:pPr>
      <w:r>
        <w:rPr>
          <w:b/>
          <w:sz w:val="20"/>
          <w:szCs w:val="20"/>
        </w:rPr>
        <w:t>7</w:t>
      </w:r>
      <w:r w:rsidR="007E6AF6" w:rsidRPr="00EA1F87">
        <w:rPr>
          <w:b/>
          <w:sz w:val="20"/>
          <w:szCs w:val="20"/>
        </w:rPr>
        <w:t xml:space="preserve">. </w:t>
      </w:r>
      <w:r w:rsidR="00C05BE4" w:rsidRPr="00EA1F87">
        <w:rPr>
          <w:b/>
          <w:sz w:val="20"/>
          <w:szCs w:val="20"/>
        </w:rPr>
        <w:tab/>
      </w:r>
      <w:r w:rsidR="007E6AF6" w:rsidRPr="00EA1F87">
        <w:rPr>
          <w:b/>
          <w:sz w:val="20"/>
          <w:szCs w:val="20"/>
        </w:rPr>
        <w:t>Archivierung</w:t>
      </w:r>
      <w:r w:rsidR="007E6AF6" w:rsidRPr="00EA1F87">
        <w:rPr>
          <w:sz w:val="20"/>
          <w:szCs w:val="20"/>
        </w:rPr>
        <w:t xml:space="preserve"> </w:t>
      </w:r>
      <w:r w:rsidR="00DB56AF" w:rsidRPr="00EA1F87">
        <w:rPr>
          <w:sz w:val="20"/>
          <w:szCs w:val="20"/>
        </w:rPr>
        <w:br/>
      </w:r>
    </w:p>
    <w:p w14:paraId="60CA1ACE" w14:textId="09621C47" w:rsidR="006A14FA" w:rsidRPr="00EA1F87" w:rsidRDefault="00A7217C" w:rsidP="00C70646">
      <w:pPr>
        <w:jc w:val="both"/>
        <w:rPr>
          <w:iCs/>
          <w:sz w:val="20"/>
          <w:szCs w:val="20"/>
        </w:rPr>
      </w:pPr>
      <w:r w:rsidRPr="00EA1F87">
        <w:rPr>
          <w:sz w:val="20"/>
          <w:szCs w:val="20"/>
        </w:rPr>
        <w:t>Das Prüfzentrum</w:t>
      </w:r>
      <w:r w:rsidR="006A14FA" w:rsidRPr="00EA1F87">
        <w:rPr>
          <w:iCs/>
          <w:sz w:val="20"/>
          <w:szCs w:val="20"/>
        </w:rPr>
        <w:t xml:space="preserve"> wird sämtliche Dokumentationen und elektronischen Dokumente im Zusammenhang mit der Prüfung, unter anderem Quelldokumente und Investigator Site Files</w:t>
      </w:r>
      <w:r w:rsidR="00B8370C" w:rsidRPr="00EA1F87">
        <w:rPr>
          <w:iCs/>
          <w:sz w:val="20"/>
          <w:szCs w:val="20"/>
        </w:rPr>
        <w:t xml:space="preserve"> (nachfolgend Prüfungsdokumentation genannt)</w:t>
      </w:r>
      <w:r w:rsidR="006A14FA" w:rsidRPr="00EA1F87">
        <w:rPr>
          <w:iCs/>
          <w:sz w:val="20"/>
          <w:szCs w:val="20"/>
        </w:rPr>
        <w:t xml:space="preserve">, gemäß den ICH-Vorschriften und den lokal anwendbaren Rechtsvorschriften für einen Zeitraum von </w:t>
      </w:r>
    </w:p>
    <w:p w14:paraId="447340C7" w14:textId="77777777" w:rsidR="006A14FA" w:rsidRPr="00EA1F87" w:rsidRDefault="006A14FA" w:rsidP="00C70646">
      <w:pPr>
        <w:jc w:val="both"/>
        <w:rPr>
          <w:iCs/>
          <w:sz w:val="20"/>
          <w:szCs w:val="20"/>
        </w:rPr>
      </w:pPr>
    </w:p>
    <w:p w14:paraId="1488FA5F" w14:textId="64F7810E" w:rsidR="006A14FA" w:rsidRPr="00EA1F87" w:rsidRDefault="006A14FA" w:rsidP="00C70646">
      <w:pPr>
        <w:numPr>
          <w:ilvl w:val="0"/>
          <w:numId w:val="8"/>
        </w:numPr>
        <w:jc w:val="both"/>
        <w:rPr>
          <w:iCs/>
          <w:sz w:val="20"/>
          <w:szCs w:val="20"/>
        </w:rPr>
      </w:pPr>
      <w:r w:rsidRPr="00EA1F87">
        <w:rPr>
          <w:iCs/>
          <w:sz w:val="20"/>
          <w:szCs w:val="20"/>
        </w:rPr>
        <w:t xml:space="preserve">15 Jahren nach Prüfungsende oder </w:t>
      </w:r>
    </w:p>
    <w:p w14:paraId="65F9CD73" w14:textId="77777777" w:rsidR="006A14FA" w:rsidRPr="00EA1F87" w:rsidRDefault="006A14FA" w:rsidP="00C70646">
      <w:pPr>
        <w:jc w:val="both"/>
        <w:rPr>
          <w:iCs/>
          <w:sz w:val="20"/>
          <w:szCs w:val="20"/>
        </w:rPr>
      </w:pPr>
    </w:p>
    <w:p w14:paraId="3B4BA4CC" w14:textId="63D23238" w:rsidR="006A14FA" w:rsidRPr="00EA1F87" w:rsidRDefault="006A14FA" w:rsidP="00C70646">
      <w:pPr>
        <w:numPr>
          <w:ilvl w:val="0"/>
          <w:numId w:val="8"/>
        </w:numPr>
        <w:jc w:val="both"/>
        <w:rPr>
          <w:iCs/>
          <w:sz w:val="20"/>
          <w:szCs w:val="20"/>
        </w:rPr>
      </w:pPr>
      <w:r w:rsidRPr="00EA1F87">
        <w:rPr>
          <w:iCs/>
          <w:sz w:val="20"/>
          <w:szCs w:val="20"/>
        </w:rPr>
        <w:t>einen nach anwendbaren Rechtsvorschriften geforderten längeren Aufbewahrungszeitraum aufbewahren</w:t>
      </w:r>
      <w:r w:rsidR="00CB0F60" w:rsidRPr="00EA1F87">
        <w:rPr>
          <w:iCs/>
          <w:sz w:val="20"/>
          <w:szCs w:val="20"/>
          <w:vertAlign w:val="superscript"/>
        </w:rPr>
        <w:t>*</w:t>
      </w:r>
      <w:r w:rsidRPr="00EA1F87">
        <w:rPr>
          <w:iCs/>
          <w:sz w:val="20"/>
          <w:szCs w:val="20"/>
        </w:rPr>
        <w:t xml:space="preserve">. </w:t>
      </w:r>
    </w:p>
    <w:p w14:paraId="5FFDEECA" w14:textId="77777777" w:rsidR="006A14FA" w:rsidRPr="00EA1F87" w:rsidRDefault="006A14FA" w:rsidP="00C70646">
      <w:pPr>
        <w:jc w:val="both"/>
        <w:rPr>
          <w:iCs/>
          <w:sz w:val="20"/>
          <w:szCs w:val="20"/>
        </w:rPr>
      </w:pPr>
    </w:p>
    <w:p w14:paraId="2BBE9C91" w14:textId="58A04CA3" w:rsidR="006A14FA" w:rsidRPr="000C6698" w:rsidRDefault="006A14FA" w:rsidP="00C70646">
      <w:pPr>
        <w:jc w:val="both"/>
        <w:rPr>
          <w:iCs/>
          <w:sz w:val="20"/>
          <w:szCs w:val="20"/>
        </w:rPr>
      </w:pPr>
      <w:r w:rsidRPr="00EA1F87">
        <w:rPr>
          <w:iCs/>
          <w:sz w:val="20"/>
          <w:szCs w:val="20"/>
        </w:rPr>
        <w:t xml:space="preserve">Die Prüfungsdokumentation muss sicher an einem geeigneten Ort und in geeigneter Weise aufbewahrt werden. </w:t>
      </w:r>
      <w:r w:rsidR="00A7217C" w:rsidRPr="00EA1F87">
        <w:rPr>
          <w:iCs/>
          <w:sz w:val="20"/>
          <w:szCs w:val="20"/>
        </w:rPr>
        <w:t>Das Prüfzentrum</w:t>
      </w:r>
      <w:r w:rsidRPr="00EA1F87">
        <w:rPr>
          <w:iCs/>
          <w:sz w:val="20"/>
          <w:szCs w:val="20"/>
        </w:rPr>
        <w:t xml:space="preserve"> muss Aufzeichnungen über den Ort führen, an dem die Prüfungsdokumentation aufbewahrt wird, um sicherzustellen, dass diese auf Anforderung von Monitoren, Ethik-Kommissionen, Auditoren oder Behörden </w:t>
      </w:r>
      <w:r w:rsidR="00285AA2" w:rsidRPr="00EA1F87">
        <w:rPr>
          <w:iCs/>
          <w:sz w:val="20"/>
          <w:szCs w:val="20"/>
        </w:rPr>
        <w:t>unverzüglich</w:t>
      </w:r>
      <w:r w:rsidR="00285AA2" w:rsidRPr="000C6698">
        <w:rPr>
          <w:iCs/>
          <w:sz w:val="20"/>
          <w:szCs w:val="20"/>
        </w:rPr>
        <w:t xml:space="preserve"> </w:t>
      </w:r>
      <w:r w:rsidRPr="000C6698">
        <w:rPr>
          <w:iCs/>
          <w:sz w:val="20"/>
          <w:szCs w:val="20"/>
        </w:rPr>
        <w:t xml:space="preserve">verfügbar ist. </w:t>
      </w:r>
    </w:p>
    <w:p w14:paraId="4A8930B4" w14:textId="77777777" w:rsidR="006A14FA" w:rsidRDefault="006A14FA" w:rsidP="00C70646">
      <w:pPr>
        <w:jc w:val="both"/>
        <w:rPr>
          <w:iCs/>
          <w:sz w:val="20"/>
          <w:szCs w:val="20"/>
        </w:rPr>
      </w:pPr>
    </w:p>
    <w:p w14:paraId="0C1E54EB" w14:textId="6AFCE402" w:rsidR="00FF34C9" w:rsidRDefault="00A7217C" w:rsidP="00C70646">
      <w:pPr>
        <w:jc w:val="both"/>
        <w:rPr>
          <w:iCs/>
          <w:sz w:val="20"/>
          <w:szCs w:val="20"/>
        </w:rPr>
      </w:pPr>
      <w:r>
        <w:rPr>
          <w:iCs/>
          <w:sz w:val="20"/>
          <w:szCs w:val="20"/>
        </w:rPr>
        <w:t>Das Prüfzentrum</w:t>
      </w:r>
      <w:r w:rsidR="006F0E89" w:rsidRPr="0088520E">
        <w:rPr>
          <w:iCs/>
          <w:sz w:val="20"/>
          <w:szCs w:val="20"/>
        </w:rPr>
        <w:t xml:space="preserve"> </w:t>
      </w:r>
      <w:r w:rsidR="00F00A31">
        <w:rPr>
          <w:iCs/>
          <w:sz w:val="20"/>
          <w:szCs w:val="20"/>
        </w:rPr>
        <w:t>kann</w:t>
      </w:r>
      <w:r w:rsidR="006F0E89" w:rsidRPr="0088520E">
        <w:rPr>
          <w:iCs/>
          <w:sz w:val="20"/>
          <w:szCs w:val="20"/>
        </w:rPr>
        <w:t xml:space="preserve"> die Prüfungsdokumentation nach Ablauf des Aufbewahrungszeitraums vernichten, es sei denn</w:t>
      </w:r>
      <w:r w:rsidR="00855A79">
        <w:rPr>
          <w:iCs/>
          <w:sz w:val="20"/>
          <w:szCs w:val="20"/>
        </w:rPr>
        <w:t>,</w:t>
      </w:r>
      <w:r w:rsidR="006F0E89" w:rsidRPr="0088520E">
        <w:rPr>
          <w:iCs/>
          <w:sz w:val="20"/>
          <w:szCs w:val="20"/>
        </w:rPr>
        <w:t xml:space="preserve"> der </w:t>
      </w:r>
      <w:r>
        <w:rPr>
          <w:iCs/>
          <w:sz w:val="20"/>
          <w:szCs w:val="20"/>
        </w:rPr>
        <w:t>Auftraggeber</w:t>
      </w:r>
      <w:r w:rsidR="006F0E89" w:rsidRPr="0088520E">
        <w:rPr>
          <w:iCs/>
          <w:sz w:val="20"/>
          <w:szCs w:val="20"/>
        </w:rPr>
        <w:t xml:space="preserve"> verlangt </w:t>
      </w:r>
      <w:r w:rsidR="00FF34C9">
        <w:rPr>
          <w:iCs/>
          <w:sz w:val="20"/>
          <w:szCs w:val="20"/>
        </w:rPr>
        <w:t>mindestens 3 Monate</w:t>
      </w:r>
      <w:r w:rsidR="009723AD">
        <w:rPr>
          <w:iCs/>
          <w:sz w:val="20"/>
          <w:szCs w:val="20"/>
        </w:rPr>
        <w:t>**</w:t>
      </w:r>
      <w:r w:rsidR="006F0E89" w:rsidRPr="0088520E">
        <w:rPr>
          <w:iCs/>
          <w:sz w:val="20"/>
          <w:szCs w:val="20"/>
        </w:rPr>
        <w:t xml:space="preserve">vor Ablauf des Aufbewahrungszeitraums (i) eine längere Aufbewahrung oder (ii) </w:t>
      </w:r>
      <w:r w:rsidR="004C4A16">
        <w:rPr>
          <w:iCs/>
          <w:sz w:val="20"/>
          <w:szCs w:val="20"/>
        </w:rPr>
        <w:t>soweit rechtlich zulässig</w:t>
      </w:r>
      <w:r w:rsidR="00855A79">
        <w:rPr>
          <w:iCs/>
          <w:sz w:val="20"/>
          <w:szCs w:val="20"/>
        </w:rPr>
        <w:t>,</w:t>
      </w:r>
      <w:r w:rsidR="004C4A16">
        <w:rPr>
          <w:iCs/>
          <w:sz w:val="20"/>
          <w:szCs w:val="20"/>
        </w:rPr>
        <w:t xml:space="preserve"> </w:t>
      </w:r>
      <w:r w:rsidR="006F0E89" w:rsidRPr="0088520E">
        <w:rPr>
          <w:iCs/>
          <w:sz w:val="20"/>
          <w:szCs w:val="20"/>
        </w:rPr>
        <w:t xml:space="preserve">eine Übertragung der Prüfungsdokumentation an den </w:t>
      </w:r>
      <w:r>
        <w:rPr>
          <w:iCs/>
          <w:sz w:val="20"/>
          <w:szCs w:val="20"/>
        </w:rPr>
        <w:t>Auftraggeber</w:t>
      </w:r>
      <w:r w:rsidR="006F0E89" w:rsidRPr="0088520E">
        <w:rPr>
          <w:iCs/>
          <w:sz w:val="20"/>
          <w:szCs w:val="20"/>
        </w:rPr>
        <w:t xml:space="preserve"> oder an einen vom </w:t>
      </w:r>
      <w:r>
        <w:rPr>
          <w:iCs/>
          <w:sz w:val="20"/>
          <w:szCs w:val="20"/>
        </w:rPr>
        <w:t>Auftraggeber</w:t>
      </w:r>
      <w:r w:rsidR="006F0E89" w:rsidRPr="0088520E">
        <w:rPr>
          <w:iCs/>
          <w:sz w:val="20"/>
          <w:szCs w:val="20"/>
        </w:rPr>
        <w:t xml:space="preserve"> benannten Dritten. </w:t>
      </w:r>
      <w:r w:rsidR="00FF34C9" w:rsidRPr="0088520E">
        <w:rPr>
          <w:iCs/>
          <w:sz w:val="20"/>
          <w:szCs w:val="20"/>
        </w:rPr>
        <w:t>Im Fall von (i) werden die Parteien eine Vereinbarung über die weitere Aufbewahrung abschließen.</w:t>
      </w:r>
    </w:p>
    <w:p w14:paraId="02AC6197" w14:textId="77777777" w:rsidR="00FF34C9" w:rsidRDefault="00FF34C9" w:rsidP="00C70646">
      <w:pPr>
        <w:jc w:val="both"/>
        <w:rPr>
          <w:iCs/>
          <w:sz w:val="20"/>
          <w:szCs w:val="20"/>
        </w:rPr>
      </w:pPr>
    </w:p>
    <w:p w14:paraId="2A288365" w14:textId="2586230F" w:rsidR="00173100" w:rsidRPr="00B95166" w:rsidRDefault="00C955DF" w:rsidP="00C70646">
      <w:pPr>
        <w:ind w:left="708"/>
        <w:jc w:val="both"/>
        <w:rPr>
          <w:i/>
          <w:iCs/>
          <w:sz w:val="18"/>
          <w:szCs w:val="18"/>
        </w:rPr>
      </w:pPr>
      <w:r w:rsidRPr="00B95166">
        <w:rPr>
          <w:rFonts w:cstheme="minorHAnsi"/>
          <w:i/>
          <w:sz w:val="18"/>
          <w:szCs w:val="18"/>
          <w:highlight w:val="lightGray"/>
          <w:u w:val="single"/>
        </w:rPr>
        <w:t>Hinweis</w:t>
      </w:r>
      <w:r w:rsidRPr="00B95166">
        <w:rPr>
          <w:rFonts w:cstheme="minorHAnsi"/>
          <w:i/>
          <w:sz w:val="18"/>
          <w:szCs w:val="18"/>
          <w:highlight w:val="lightGray"/>
        </w:rPr>
        <w:t xml:space="preserve">: </w:t>
      </w:r>
      <w:r w:rsidR="00626BC0" w:rsidRPr="00B95166">
        <w:rPr>
          <w:rFonts w:cstheme="minorHAnsi"/>
          <w:i/>
          <w:sz w:val="18"/>
          <w:szCs w:val="18"/>
          <w:highlight w:val="lightGray"/>
        </w:rPr>
        <w:t>E</w:t>
      </w:r>
      <w:r w:rsidR="00AB6A1F" w:rsidRPr="00B95166">
        <w:rPr>
          <w:rFonts w:cstheme="minorHAnsi"/>
          <w:i/>
          <w:sz w:val="18"/>
          <w:szCs w:val="18"/>
          <w:highlight w:val="lightGray"/>
        </w:rPr>
        <w:t xml:space="preserve">ine Regelung </w:t>
      </w:r>
      <w:r w:rsidR="00E77AF3" w:rsidRPr="00B95166">
        <w:rPr>
          <w:rFonts w:cstheme="minorHAnsi"/>
          <w:i/>
          <w:sz w:val="18"/>
          <w:szCs w:val="18"/>
          <w:highlight w:val="lightGray"/>
        </w:rPr>
        <w:t>der Frage, ob hinsichtlich der Vernichtung/</w:t>
      </w:r>
      <w:r w:rsidR="00C52DED" w:rsidRPr="00B95166">
        <w:rPr>
          <w:rFonts w:cstheme="minorHAnsi"/>
          <w:i/>
          <w:sz w:val="18"/>
          <w:szCs w:val="18"/>
          <w:highlight w:val="lightGray"/>
        </w:rPr>
        <w:t>ver</w:t>
      </w:r>
      <w:r w:rsidR="00E77AF3" w:rsidRPr="00B95166">
        <w:rPr>
          <w:rFonts w:cstheme="minorHAnsi"/>
          <w:i/>
          <w:sz w:val="18"/>
          <w:szCs w:val="18"/>
          <w:highlight w:val="lightGray"/>
        </w:rPr>
        <w:t>länger</w:t>
      </w:r>
      <w:r w:rsidR="00C52DED" w:rsidRPr="00B95166">
        <w:rPr>
          <w:rFonts w:cstheme="minorHAnsi"/>
          <w:i/>
          <w:sz w:val="18"/>
          <w:szCs w:val="18"/>
          <w:highlight w:val="lightGray"/>
        </w:rPr>
        <w:t>t</w:t>
      </w:r>
      <w:r w:rsidR="00E77AF3" w:rsidRPr="00B95166">
        <w:rPr>
          <w:rFonts w:cstheme="minorHAnsi"/>
          <w:i/>
          <w:sz w:val="18"/>
          <w:szCs w:val="18"/>
          <w:highlight w:val="lightGray"/>
        </w:rPr>
        <w:t xml:space="preserve">en Aufbewahrung </w:t>
      </w:r>
      <w:r w:rsidR="00A7217C" w:rsidRPr="00B95166">
        <w:rPr>
          <w:rFonts w:cstheme="minorHAnsi"/>
          <w:i/>
          <w:sz w:val="18"/>
          <w:szCs w:val="18"/>
          <w:highlight w:val="lightGray"/>
        </w:rPr>
        <w:t>das Prüfzentrum</w:t>
      </w:r>
      <w:r w:rsidR="00E77AF3" w:rsidRPr="00B95166">
        <w:rPr>
          <w:rFonts w:cstheme="minorHAnsi"/>
          <w:i/>
          <w:sz w:val="18"/>
          <w:szCs w:val="18"/>
          <w:highlight w:val="lightGray"/>
        </w:rPr>
        <w:t xml:space="preserve"> beim </w:t>
      </w:r>
      <w:r w:rsidR="00A7217C" w:rsidRPr="00B95166">
        <w:rPr>
          <w:rFonts w:cstheme="minorHAnsi"/>
          <w:i/>
          <w:sz w:val="18"/>
          <w:szCs w:val="18"/>
          <w:highlight w:val="lightGray"/>
        </w:rPr>
        <w:t>Auftraggeber</w:t>
      </w:r>
      <w:r w:rsidR="00E77AF3" w:rsidRPr="00B95166">
        <w:rPr>
          <w:rFonts w:cstheme="minorHAnsi"/>
          <w:i/>
          <w:sz w:val="18"/>
          <w:szCs w:val="18"/>
          <w:highlight w:val="lightGray"/>
        </w:rPr>
        <w:t xml:space="preserve"> nachfragen oder aber letzterer sich von selbst bei der Institution/dem Auftragnehmer melden bzw. diese(n) informieren muss</w:t>
      </w:r>
      <w:r w:rsidR="00C52DED" w:rsidRPr="00B95166">
        <w:rPr>
          <w:rFonts w:cstheme="minorHAnsi"/>
          <w:i/>
          <w:sz w:val="18"/>
          <w:szCs w:val="18"/>
          <w:highlight w:val="lightGray"/>
        </w:rPr>
        <w:t>,</w:t>
      </w:r>
      <w:r w:rsidR="00E77AF3" w:rsidRPr="00B95166">
        <w:rPr>
          <w:rFonts w:cstheme="minorHAnsi"/>
          <w:i/>
          <w:sz w:val="18"/>
          <w:szCs w:val="18"/>
          <w:highlight w:val="lightGray"/>
        </w:rPr>
        <w:t xml:space="preserve"> ist </w:t>
      </w:r>
      <w:r w:rsidR="00626BC0" w:rsidRPr="00B95166">
        <w:rPr>
          <w:rFonts w:cstheme="minorHAnsi"/>
          <w:i/>
          <w:sz w:val="18"/>
          <w:szCs w:val="18"/>
          <w:highlight w:val="lightGray"/>
        </w:rPr>
        <w:t xml:space="preserve">zwischen den Vertragsparteien individuell </w:t>
      </w:r>
      <w:r w:rsidR="00E77AF3" w:rsidRPr="00B95166">
        <w:rPr>
          <w:rFonts w:cstheme="minorHAnsi"/>
          <w:i/>
          <w:sz w:val="18"/>
          <w:szCs w:val="18"/>
          <w:highlight w:val="lightGray"/>
        </w:rPr>
        <w:t>zu vereinbaren</w:t>
      </w:r>
      <w:r w:rsidR="00C52DED" w:rsidRPr="00B95166">
        <w:rPr>
          <w:rFonts w:cstheme="minorHAnsi"/>
          <w:i/>
          <w:sz w:val="18"/>
          <w:szCs w:val="18"/>
          <w:highlight w:val="lightGray"/>
        </w:rPr>
        <w:t>.</w:t>
      </w:r>
      <w:r w:rsidR="008E6B72" w:rsidRPr="00B95166">
        <w:rPr>
          <w:rFonts w:cstheme="minorHAnsi"/>
          <w:i/>
          <w:sz w:val="18"/>
          <w:szCs w:val="18"/>
          <w:highlight w:val="lightGray"/>
        </w:rPr>
        <w:t xml:space="preserve"> </w:t>
      </w:r>
      <w:r w:rsidR="00C52DED" w:rsidRPr="00B95166">
        <w:rPr>
          <w:rFonts w:cstheme="minorHAnsi"/>
          <w:i/>
          <w:sz w:val="18"/>
          <w:szCs w:val="18"/>
          <w:highlight w:val="lightGray"/>
        </w:rPr>
        <w:t>Eine abschließende, gemeinsame Musterformulierung konnte für diesen Bereich nicht getroffen werden.</w:t>
      </w:r>
      <w:r w:rsidR="00855A79" w:rsidRPr="00B95166">
        <w:rPr>
          <w:rFonts w:cstheme="minorHAnsi"/>
          <w:i/>
          <w:sz w:val="18"/>
          <w:szCs w:val="18"/>
          <w:highlight w:val="lightGray"/>
        </w:rPr>
        <w:t xml:space="preserve"> </w:t>
      </w:r>
      <w:r w:rsidR="00173100" w:rsidRPr="00B95166">
        <w:rPr>
          <w:rFonts w:cstheme="minorHAnsi"/>
          <w:i/>
          <w:sz w:val="18"/>
          <w:szCs w:val="18"/>
          <w:highlight w:val="lightGray"/>
        </w:rPr>
        <w:t xml:space="preserve">Grundsätzlich </w:t>
      </w:r>
      <w:r w:rsidR="00C47EE5" w:rsidRPr="00B95166">
        <w:rPr>
          <w:rFonts w:cstheme="minorHAnsi"/>
          <w:i/>
          <w:sz w:val="18"/>
          <w:szCs w:val="18"/>
          <w:highlight w:val="lightGray"/>
        </w:rPr>
        <w:t>ist</w:t>
      </w:r>
      <w:r w:rsidR="00173100" w:rsidRPr="00B95166">
        <w:rPr>
          <w:rFonts w:cstheme="minorHAnsi"/>
          <w:i/>
          <w:sz w:val="18"/>
          <w:szCs w:val="18"/>
          <w:highlight w:val="lightGray"/>
        </w:rPr>
        <w:t xml:space="preserve"> vor</w:t>
      </w:r>
      <w:r w:rsidR="00C47EE5" w:rsidRPr="00B95166">
        <w:rPr>
          <w:rFonts w:cstheme="minorHAnsi"/>
          <w:i/>
          <w:sz w:val="18"/>
          <w:szCs w:val="18"/>
          <w:highlight w:val="lightGray"/>
        </w:rPr>
        <w:t>gesehen</w:t>
      </w:r>
      <w:r w:rsidR="00173100" w:rsidRPr="00B95166">
        <w:rPr>
          <w:rFonts w:cstheme="minorHAnsi"/>
          <w:i/>
          <w:sz w:val="18"/>
          <w:szCs w:val="18"/>
          <w:highlight w:val="lightGray"/>
        </w:rPr>
        <w:t xml:space="preserve">, dass wesentliche Unterlagen der klinischen Prüfung einschließlich der Prüfbögen mindestens 15 Jahre nach Ende der Studie aufbewahrt werden. Sollte eine klinische Prüfung auch unter strahlenschutzrechtliche Regelungen fallen, so beträgt die Mindestaufbewahrungsdauer 30 Jahre. Davon kann über eine vertragliche Reglung abgewichen werden. </w:t>
      </w:r>
    </w:p>
    <w:p w14:paraId="6F45939B" w14:textId="77777777" w:rsidR="006F0E89" w:rsidRPr="008A64B2" w:rsidRDefault="006F0E89" w:rsidP="00C70646">
      <w:pPr>
        <w:ind w:left="708"/>
        <w:jc w:val="both"/>
        <w:rPr>
          <w:i/>
          <w:iCs/>
          <w:sz w:val="20"/>
          <w:szCs w:val="20"/>
        </w:rPr>
      </w:pPr>
    </w:p>
    <w:p w14:paraId="5B3C90F3" w14:textId="77777777" w:rsidR="0088520E" w:rsidRDefault="0088520E" w:rsidP="00C70646">
      <w:pPr>
        <w:jc w:val="both"/>
        <w:rPr>
          <w:iCs/>
          <w:sz w:val="20"/>
          <w:szCs w:val="20"/>
        </w:rPr>
      </w:pPr>
    </w:p>
    <w:p w14:paraId="3D91ACFE" w14:textId="113C47FD" w:rsidR="00C1362D" w:rsidRDefault="00A7217C" w:rsidP="00C70646">
      <w:pPr>
        <w:jc w:val="both"/>
        <w:rPr>
          <w:sz w:val="20"/>
          <w:szCs w:val="20"/>
        </w:rPr>
      </w:pPr>
      <w:r>
        <w:rPr>
          <w:iCs/>
          <w:sz w:val="20"/>
          <w:szCs w:val="20"/>
        </w:rPr>
        <w:t>Das Prüfzentrum</w:t>
      </w:r>
      <w:r w:rsidR="006A14FA" w:rsidRPr="00261262">
        <w:rPr>
          <w:iCs/>
          <w:sz w:val="20"/>
          <w:szCs w:val="20"/>
        </w:rPr>
        <w:t xml:space="preserve"> muss den </w:t>
      </w:r>
      <w:r>
        <w:rPr>
          <w:iCs/>
          <w:sz w:val="20"/>
          <w:szCs w:val="20"/>
        </w:rPr>
        <w:t>Auftraggeber</w:t>
      </w:r>
      <w:r w:rsidR="006A14FA" w:rsidRPr="00261262">
        <w:rPr>
          <w:iCs/>
          <w:sz w:val="20"/>
          <w:szCs w:val="20"/>
        </w:rPr>
        <w:t xml:space="preserve"> über mögliche Änderungen an der</w:t>
      </w:r>
      <w:r w:rsidR="00855A79">
        <w:rPr>
          <w:iCs/>
          <w:sz w:val="20"/>
          <w:szCs w:val="20"/>
        </w:rPr>
        <w:t xml:space="preserve"> </w:t>
      </w:r>
      <w:r w:rsidR="00B8370C" w:rsidRPr="00261262">
        <w:rPr>
          <w:iCs/>
          <w:sz w:val="20"/>
          <w:szCs w:val="20"/>
        </w:rPr>
        <w:t>Art der Archivierung d</w:t>
      </w:r>
      <w:r w:rsidR="00FD0F54" w:rsidRPr="00261262">
        <w:rPr>
          <w:iCs/>
          <w:sz w:val="20"/>
          <w:szCs w:val="20"/>
        </w:rPr>
        <w:t>er</w:t>
      </w:r>
      <w:r w:rsidR="00855A79">
        <w:rPr>
          <w:iCs/>
          <w:sz w:val="20"/>
          <w:szCs w:val="20"/>
        </w:rPr>
        <w:t xml:space="preserve"> </w:t>
      </w:r>
      <w:r w:rsidR="00B8370C" w:rsidRPr="00261262">
        <w:rPr>
          <w:iCs/>
          <w:sz w:val="20"/>
          <w:szCs w:val="20"/>
        </w:rPr>
        <w:t xml:space="preserve">Prüfungsdokumentation </w:t>
      </w:r>
      <w:r w:rsidR="006A14FA" w:rsidRPr="00261262">
        <w:rPr>
          <w:iCs/>
          <w:sz w:val="20"/>
          <w:szCs w:val="20"/>
        </w:rPr>
        <w:t xml:space="preserve">informieren (z. B. Einführung oder Einstellung eines elektronischen Erfassungssystems). </w:t>
      </w:r>
      <w:r>
        <w:rPr>
          <w:iCs/>
          <w:sz w:val="20"/>
          <w:szCs w:val="20"/>
        </w:rPr>
        <w:t>Das Prüfzentrum</w:t>
      </w:r>
      <w:r w:rsidR="006A14FA" w:rsidRPr="00261262">
        <w:rPr>
          <w:iCs/>
          <w:sz w:val="20"/>
          <w:szCs w:val="20"/>
        </w:rPr>
        <w:t xml:space="preserve"> gewährleistet für den Fall einer elektronischen Archivierung, dass die Daten während der Dauer der Aufbewahrungsfrist verfügbar sind, innerhalb einer angemessenen Frist lesbar gemacht werden können und den Originaldaten entsprechen. </w:t>
      </w:r>
      <w:r>
        <w:rPr>
          <w:iCs/>
          <w:sz w:val="20"/>
          <w:szCs w:val="20"/>
        </w:rPr>
        <w:t>Das Prüfzentrum</w:t>
      </w:r>
      <w:r w:rsidR="006A14FA" w:rsidRPr="00261262">
        <w:rPr>
          <w:iCs/>
          <w:sz w:val="20"/>
          <w:szCs w:val="20"/>
        </w:rPr>
        <w:t xml:space="preserve"> informiert den </w:t>
      </w:r>
      <w:r>
        <w:rPr>
          <w:iCs/>
          <w:sz w:val="20"/>
          <w:szCs w:val="20"/>
        </w:rPr>
        <w:t>Auftraggeber</w:t>
      </w:r>
      <w:r w:rsidR="006A14FA" w:rsidRPr="00261262">
        <w:rPr>
          <w:iCs/>
          <w:sz w:val="20"/>
          <w:szCs w:val="20"/>
        </w:rPr>
        <w:t xml:space="preserve">, falls seine Klinik, Einrichtung oder Praxis aus unvorhersehbaren Gründen nicht mehr in der Lage ist, die genannte </w:t>
      </w:r>
      <w:r w:rsidR="00190F4D" w:rsidRPr="00261262">
        <w:rPr>
          <w:iCs/>
          <w:sz w:val="20"/>
          <w:szCs w:val="20"/>
        </w:rPr>
        <w:t>Prüfungsdokumentation</w:t>
      </w:r>
      <w:r w:rsidR="00190F4D" w:rsidRPr="00261262" w:rsidDel="00190F4D">
        <w:rPr>
          <w:iCs/>
          <w:sz w:val="20"/>
          <w:szCs w:val="20"/>
        </w:rPr>
        <w:t xml:space="preserve"> </w:t>
      </w:r>
      <w:r w:rsidR="006A14FA" w:rsidRPr="00261262">
        <w:rPr>
          <w:iCs/>
          <w:sz w:val="20"/>
          <w:szCs w:val="20"/>
        </w:rPr>
        <w:t xml:space="preserve">entsprechend </w:t>
      </w:r>
      <w:proofErr w:type="gramStart"/>
      <w:r w:rsidR="006A14FA" w:rsidRPr="00261262">
        <w:rPr>
          <w:iCs/>
          <w:sz w:val="20"/>
          <w:szCs w:val="20"/>
        </w:rPr>
        <w:t>aufzubewahren.</w:t>
      </w:r>
      <w:r w:rsidR="008E6B72" w:rsidRPr="008E6B72">
        <w:rPr>
          <w:iCs/>
          <w:sz w:val="20"/>
          <w:szCs w:val="20"/>
          <w:vertAlign w:val="superscript"/>
        </w:rPr>
        <w:t>*</w:t>
      </w:r>
      <w:proofErr w:type="gramEnd"/>
      <w:r w:rsidR="008E6B72" w:rsidRPr="008E6B72">
        <w:rPr>
          <w:iCs/>
          <w:sz w:val="20"/>
          <w:szCs w:val="20"/>
          <w:vertAlign w:val="superscript"/>
        </w:rPr>
        <w:t>**</w:t>
      </w:r>
    </w:p>
    <w:p w14:paraId="18A669A3" w14:textId="77777777" w:rsidR="009703EE" w:rsidRDefault="009703EE" w:rsidP="00C70646">
      <w:pPr>
        <w:tabs>
          <w:tab w:val="left" w:pos="5238"/>
        </w:tabs>
        <w:jc w:val="both"/>
        <w:rPr>
          <w:sz w:val="20"/>
          <w:szCs w:val="20"/>
        </w:rPr>
      </w:pPr>
    </w:p>
    <w:p w14:paraId="7763577A" w14:textId="77777777" w:rsidR="00B050E9" w:rsidRPr="00B95166" w:rsidRDefault="00B050E9" w:rsidP="00C70646">
      <w:pPr>
        <w:ind w:left="709"/>
        <w:jc w:val="both"/>
        <w:rPr>
          <w:rFonts w:cstheme="minorHAnsi"/>
          <w:sz w:val="18"/>
          <w:szCs w:val="18"/>
          <w:highlight w:val="lightGray"/>
        </w:rPr>
      </w:pPr>
      <w:r w:rsidRPr="00B95166">
        <w:rPr>
          <w:rFonts w:cstheme="minorHAnsi"/>
          <w:sz w:val="18"/>
          <w:szCs w:val="18"/>
          <w:highlight w:val="lightGray"/>
          <w:u w:val="single"/>
        </w:rPr>
        <w:t>Hinweise</w:t>
      </w:r>
      <w:r w:rsidRPr="00B95166">
        <w:rPr>
          <w:rFonts w:cstheme="minorHAnsi"/>
          <w:sz w:val="18"/>
          <w:szCs w:val="18"/>
          <w:highlight w:val="lightGray"/>
        </w:rPr>
        <w:t>:</w:t>
      </w:r>
    </w:p>
    <w:p w14:paraId="432F5221" w14:textId="6319FF48" w:rsidR="009703EE" w:rsidRPr="00B95166" w:rsidRDefault="009703EE" w:rsidP="00C70646">
      <w:pPr>
        <w:ind w:left="709"/>
        <w:jc w:val="both"/>
        <w:rPr>
          <w:rFonts w:cstheme="minorHAnsi"/>
          <w:sz w:val="18"/>
          <w:szCs w:val="18"/>
          <w:highlight w:val="lightGray"/>
        </w:rPr>
      </w:pPr>
      <w:r w:rsidRPr="00B95166">
        <w:rPr>
          <w:rFonts w:cstheme="minorHAnsi"/>
          <w:sz w:val="18"/>
          <w:szCs w:val="18"/>
          <w:highlight w:val="lightGray"/>
        </w:rPr>
        <w:t>*Die aktuell gültige, gesetzliche Aufbewahrungsfrist wird durch die</w:t>
      </w:r>
      <w:r w:rsidR="00855A79" w:rsidRPr="00B95166">
        <w:rPr>
          <w:rFonts w:cstheme="minorHAnsi"/>
          <w:sz w:val="18"/>
          <w:szCs w:val="18"/>
          <w:highlight w:val="lightGray"/>
        </w:rPr>
        <w:t xml:space="preserve"> </w:t>
      </w:r>
      <w:r w:rsidR="00CD10B3" w:rsidRPr="00B95166">
        <w:rPr>
          <w:rFonts w:cstheme="minorHAnsi"/>
          <w:sz w:val="18"/>
          <w:szCs w:val="18"/>
          <w:highlight w:val="lightGray"/>
        </w:rPr>
        <w:t>zur Anwendung kommende</w:t>
      </w:r>
      <w:r w:rsidRPr="00B95166">
        <w:rPr>
          <w:rFonts w:cstheme="minorHAnsi"/>
          <w:sz w:val="18"/>
          <w:szCs w:val="18"/>
          <w:highlight w:val="lightGray"/>
        </w:rPr>
        <w:t xml:space="preserve"> EU-Verordnung 536/2014 zu klinischen Prüfungen </w:t>
      </w:r>
      <w:r w:rsidRPr="00B95166">
        <w:rPr>
          <w:rFonts w:cstheme="minorHAnsi"/>
          <w:sz w:val="18"/>
          <w:szCs w:val="18"/>
          <w:highlight w:val="lightGray"/>
          <w:u w:val="single"/>
        </w:rPr>
        <w:t>auf</w:t>
      </w:r>
      <w:r w:rsidRPr="00B95166">
        <w:rPr>
          <w:rFonts w:cstheme="minorHAnsi"/>
          <w:b/>
          <w:sz w:val="18"/>
          <w:szCs w:val="18"/>
          <w:highlight w:val="lightGray"/>
          <w:u w:val="single"/>
        </w:rPr>
        <w:t xml:space="preserve"> 25 Jahre</w:t>
      </w:r>
      <w:r w:rsidR="00077283" w:rsidRPr="00B95166">
        <w:rPr>
          <w:rFonts w:cstheme="minorHAnsi"/>
          <w:b/>
          <w:sz w:val="18"/>
          <w:szCs w:val="18"/>
          <w:highlight w:val="lightGray"/>
          <w:u w:val="single"/>
        </w:rPr>
        <w:t xml:space="preserve"> </w:t>
      </w:r>
      <w:r w:rsidR="00BB2C69" w:rsidRPr="00B95166">
        <w:rPr>
          <w:rFonts w:cstheme="minorHAnsi"/>
          <w:sz w:val="18"/>
          <w:szCs w:val="18"/>
          <w:highlight w:val="lightGray"/>
        </w:rPr>
        <w:t>ausgeweitet</w:t>
      </w:r>
      <w:r w:rsidRPr="00B95166">
        <w:rPr>
          <w:rFonts w:cstheme="minorHAnsi"/>
          <w:sz w:val="18"/>
          <w:szCs w:val="18"/>
          <w:highlight w:val="lightGray"/>
        </w:rPr>
        <w:t>– siehe Formulierung „</w:t>
      </w:r>
      <w:r w:rsidRPr="00B95166">
        <w:rPr>
          <w:rFonts w:cstheme="minorHAnsi"/>
          <w:i/>
          <w:sz w:val="18"/>
          <w:szCs w:val="18"/>
          <w:highlight w:val="lightGray"/>
        </w:rPr>
        <w:t>mindestens 25 Jahre</w:t>
      </w:r>
      <w:r w:rsidRPr="00B95166">
        <w:rPr>
          <w:rFonts w:cstheme="minorHAnsi"/>
          <w:sz w:val="18"/>
          <w:szCs w:val="18"/>
          <w:highlight w:val="lightGray"/>
        </w:rPr>
        <w:t>“ in Artikel 58 der EU-Verordnung 536/2014.</w:t>
      </w:r>
      <w:r w:rsidR="008E6B72" w:rsidRPr="00B95166">
        <w:rPr>
          <w:rFonts w:cstheme="minorHAnsi"/>
          <w:sz w:val="18"/>
          <w:szCs w:val="18"/>
          <w:highlight w:val="lightGray"/>
        </w:rPr>
        <w:t xml:space="preserve"> </w:t>
      </w:r>
      <w:r w:rsidRPr="00B95166">
        <w:rPr>
          <w:rFonts w:cstheme="minorHAnsi"/>
          <w:sz w:val="18"/>
          <w:szCs w:val="18"/>
          <w:highlight w:val="lightGray"/>
        </w:rPr>
        <w:t>Die</w:t>
      </w:r>
      <w:r w:rsidR="008E6B72" w:rsidRPr="00B95166">
        <w:rPr>
          <w:rFonts w:cstheme="minorHAnsi"/>
          <w:sz w:val="18"/>
          <w:szCs w:val="18"/>
          <w:highlight w:val="lightGray"/>
        </w:rPr>
        <w:t xml:space="preserve"> </w:t>
      </w:r>
      <w:r w:rsidRPr="00B95166">
        <w:rPr>
          <w:rFonts w:cstheme="minorHAnsi"/>
          <w:sz w:val="18"/>
          <w:szCs w:val="18"/>
          <w:highlight w:val="lightGray"/>
        </w:rPr>
        <w:t>i</w:t>
      </w:r>
      <w:r w:rsidR="00CD10B3" w:rsidRPr="00B95166">
        <w:rPr>
          <w:rFonts w:cstheme="minorHAnsi"/>
          <w:sz w:val="18"/>
          <w:szCs w:val="18"/>
          <w:highlight w:val="lightGray"/>
        </w:rPr>
        <w:t>n den</w:t>
      </w:r>
      <w:r w:rsidR="008E6B72" w:rsidRPr="00B95166">
        <w:rPr>
          <w:rFonts w:cstheme="minorHAnsi"/>
          <w:sz w:val="18"/>
          <w:szCs w:val="18"/>
          <w:highlight w:val="lightGray"/>
        </w:rPr>
        <w:t xml:space="preserve"> </w:t>
      </w:r>
      <w:r w:rsidR="00CD10B3" w:rsidRPr="00B95166">
        <w:rPr>
          <w:rFonts w:cstheme="minorHAnsi"/>
          <w:sz w:val="18"/>
          <w:szCs w:val="18"/>
          <w:highlight w:val="lightGray"/>
        </w:rPr>
        <w:t xml:space="preserve">vorliegenden </w:t>
      </w:r>
      <w:r w:rsidRPr="00B95166">
        <w:rPr>
          <w:rFonts w:cstheme="minorHAnsi"/>
          <w:sz w:val="18"/>
          <w:szCs w:val="18"/>
          <w:highlight w:val="lightGray"/>
        </w:rPr>
        <w:t>Mustervertrag</w:t>
      </w:r>
      <w:r w:rsidR="00CD10B3" w:rsidRPr="00B95166">
        <w:rPr>
          <w:rFonts w:cstheme="minorHAnsi"/>
          <w:sz w:val="18"/>
          <w:szCs w:val="18"/>
          <w:highlight w:val="lightGray"/>
        </w:rPr>
        <w:t xml:space="preserve">sklauseln </w:t>
      </w:r>
      <w:r w:rsidRPr="00B95166">
        <w:rPr>
          <w:rFonts w:cstheme="minorHAnsi"/>
          <w:sz w:val="18"/>
          <w:szCs w:val="18"/>
          <w:highlight w:val="lightGray"/>
        </w:rPr>
        <w:t xml:space="preserve">genannte Frist </w:t>
      </w:r>
      <w:r w:rsidR="008C6E63" w:rsidRPr="00B95166">
        <w:rPr>
          <w:rFonts w:cstheme="minorHAnsi"/>
          <w:sz w:val="18"/>
          <w:szCs w:val="18"/>
          <w:highlight w:val="lightGray"/>
        </w:rPr>
        <w:t xml:space="preserve">von 15 Jahren </w:t>
      </w:r>
      <w:r w:rsidRPr="00B95166">
        <w:rPr>
          <w:rFonts w:cstheme="minorHAnsi"/>
          <w:sz w:val="18"/>
          <w:szCs w:val="18"/>
          <w:highlight w:val="lightGray"/>
        </w:rPr>
        <w:t xml:space="preserve">ist daher </w:t>
      </w:r>
      <w:r w:rsidR="008C6E63" w:rsidRPr="00B95166">
        <w:rPr>
          <w:rFonts w:cstheme="minorHAnsi"/>
          <w:sz w:val="18"/>
          <w:szCs w:val="18"/>
          <w:highlight w:val="lightGray"/>
        </w:rPr>
        <w:t>spätestens mit</w:t>
      </w:r>
      <w:r w:rsidRPr="00B95166">
        <w:rPr>
          <w:rFonts w:cstheme="minorHAnsi"/>
          <w:sz w:val="18"/>
          <w:szCs w:val="18"/>
          <w:highlight w:val="lightGray"/>
        </w:rPr>
        <w:t xml:space="preserve"> Anwendung der EU-Verordnung 536/2014</w:t>
      </w:r>
      <w:r w:rsidR="00077283" w:rsidRPr="00B95166">
        <w:rPr>
          <w:rFonts w:cstheme="minorHAnsi"/>
          <w:sz w:val="18"/>
          <w:szCs w:val="18"/>
          <w:highlight w:val="lightGray"/>
        </w:rPr>
        <w:t xml:space="preserve"> </w:t>
      </w:r>
      <w:r w:rsidR="008C6E63" w:rsidRPr="00B95166">
        <w:rPr>
          <w:rFonts w:cstheme="minorHAnsi"/>
          <w:sz w:val="18"/>
          <w:szCs w:val="18"/>
          <w:highlight w:val="lightGray"/>
        </w:rPr>
        <w:t xml:space="preserve">entsprechend </w:t>
      </w:r>
      <w:r w:rsidR="00CD10B3" w:rsidRPr="00B95166">
        <w:rPr>
          <w:rFonts w:cstheme="minorHAnsi"/>
          <w:sz w:val="18"/>
          <w:szCs w:val="18"/>
          <w:highlight w:val="lightGray"/>
        </w:rPr>
        <w:t xml:space="preserve">auf 25 Jahre </w:t>
      </w:r>
      <w:r w:rsidRPr="00B95166">
        <w:rPr>
          <w:rFonts w:cstheme="minorHAnsi"/>
          <w:sz w:val="18"/>
          <w:szCs w:val="18"/>
          <w:highlight w:val="lightGray"/>
        </w:rPr>
        <w:t>anzupassen.</w:t>
      </w:r>
      <w:r w:rsidR="00CD10B3" w:rsidRPr="00B95166">
        <w:rPr>
          <w:rFonts w:cstheme="minorHAnsi"/>
          <w:sz w:val="18"/>
          <w:szCs w:val="18"/>
          <w:highlight w:val="lightGray"/>
        </w:rPr>
        <w:t xml:space="preserve"> Die Vertragsparteien sollten bedenken, dass vers. Studienprojekte über einen längeren Zeitraum ausgerichtet </w:t>
      </w:r>
      <w:r w:rsidR="00C37F9D" w:rsidRPr="00B95166">
        <w:rPr>
          <w:rFonts w:cstheme="minorHAnsi"/>
          <w:sz w:val="18"/>
          <w:szCs w:val="18"/>
          <w:highlight w:val="lightGray"/>
        </w:rPr>
        <w:t>sein können</w:t>
      </w:r>
      <w:r w:rsidR="00CD10B3" w:rsidRPr="00B95166">
        <w:rPr>
          <w:rFonts w:cstheme="minorHAnsi"/>
          <w:sz w:val="18"/>
          <w:szCs w:val="18"/>
          <w:highlight w:val="lightGray"/>
        </w:rPr>
        <w:t xml:space="preserve"> und ggf. die EU-Verordnung 536/2014 auch bei klinische</w:t>
      </w:r>
      <w:r w:rsidR="001B5173" w:rsidRPr="00B95166">
        <w:rPr>
          <w:rFonts w:cstheme="minorHAnsi"/>
          <w:sz w:val="18"/>
          <w:szCs w:val="18"/>
          <w:highlight w:val="lightGray"/>
        </w:rPr>
        <w:t>n</w:t>
      </w:r>
      <w:r w:rsidR="00CD10B3" w:rsidRPr="00B95166">
        <w:rPr>
          <w:rFonts w:cstheme="minorHAnsi"/>
          <w:sz w:val="18"/>
          <w:szCs w:val="18"/>
          <w:highlight w:val="lightGray"/>
        </w:rPr>
        <w:t xml:space="preserve"> Prüfungen eine Gültigkeit entfalten kann, die noch vor der eigentlichen Anwendung der EU-Verordnung 536/2014 begonnen wurden. </w:t>
      </w:r>
      <w:r w:rsidR="00CB34BC" w:rsidRPr="00B95166">
        <w:rPr>
          <w:rFonts w:cstheme="minorHAnsi"/>
          <w:sz w:val="18"/>
          <w:szCs w:val="18"/>
          <w:highlight w:val="lightGray"/>
        </w:rPr>
        <w:t>Zusätzlich ist bei klinischen Prüfungen</w:t>
      </w:r>
      <w:r w:rsidR="00077283" w:rsidRPr="00B95166">
        <w:rPr>
          <w:rFonts w:cstheme="minorHAnsi"/>
          <w:sz w:val="18"/>
          <w:szCs w:val="18"/>
          <w:highlight w:val="lightGray"/>
        </w:rPr>
        <w:t>,</w:t>
      </w:r>
      <w:r w:rsidR="00CB34BC" w:rsidRPr="00B95166">
        <w:rPr>
          <w:rFonts w:cstheme="minorHAnsi"/>
          <w:sz w:val="18"/>
          <w:szCs w:val="18"/>
          <w:highlight w:val="lightGray"/>
        </w:rPr>
        <w:t xml:space="preserve"> die auch </w:t>
      </w:r>
      <w:r w:rsidR="00CB34BC" w:rsidRPr="00B95166">
        <w:rPr>
          <w:rFonts w:cstheme="minorHAnsi"/>
          <w:sz w:val="18"/>
          <w:szCs w:val="18"/>
          <w:highlight w:val="lightGray"/>
        </w:rPr>
        <w:lastRenderedPageBreak/>
        <w:t>unter die strahlenschutzrechtlichen Vorgaben fallen</w:t>
      </w:r>
      <w:r w:rsidR="00077283" w:rsidRPr="00B95166">
        <w:rPr>
          <w:rFonts w:cstheme="minorHAnsi"/>
          <w:sz w:val="18"/>
          <w:szCs w:val="18"/>
          <w:highlight w:val="lightGray"/>
        </w:rPr>
        <w:t>,</w:t>
      </w:r>
      <w:r w:rsidR="00CB34BC" w:rsidRPr="00B95166">
        <w:rPr>
          <w:rFonts w:cstheme="minorHAnsi"/>
          <w:sz w:val="18"/>
          <w:szCs w:val="18"/>
          <w:highlight w:val="lightGray"/>
        </w:rPr>
        <w:t xml:space="preserve"> zu beachten, dass nach den dortigen Vorgaben eine Mindestaufbewahrungsdauer von </w:t>
      </w:r>
      <w:r w:rsidR="00CB34BC" w:rsidRPr="00B95166">
        <w:rPr>
          <w:rFonts w:cstheme="minorHAnsi"/>
          <w:b/>
          <w:sz w:val="18"/>
          <w:szCs w:val="18"/>
          <w:highlight w:val="lightGray"/>
        </w:rPr>
        <w:t>30 Jahren</w:t>
      </w:r>
      <w:r w:rsidR="00CB34BC" w:rsidRPr="00B95166">
        <w:rPr>
          <w:rFonts w:cstheme="minorHAnsi"/>
          <w:sz w:val="18"/>
          <w:szCs w:val="18"/>
          <w:highlight w:val="lightGray"/>
        </w:rPr>
        <w:t xml:space="preserve"> vorgesehen ist. </w:t>
      </w:r>
    </w:p>
    <w:p w14:paraId="096E9382" w14:textId="77777777" w:rsidR="008A5C31" w:rsidRPr="00B95166" w:rsidRDefault="008A5C31" w:rsidP="00C70646">
      <w:pPr>
        <w:ind w:left="709"/>
        <w:jc w:val="both"/>
        <w:rPr>
          <w:rFonts w:cstheme="minorHAnsi"/>
          <w:sz w:val="18"/>
          <w:szCs w:val="18"/>
          <w:highlight w:val="lightGray"/>
        </w:rPr>
      </w:pPr>
    </w:p>
    <w:p w14:paraId="721D9BB2" w14:textId="77777777" w:rsidR="009723AD" w:rsidRPr="00B95166" w:rsidRDefault="009723AD" w:rsidP="00C70646">
      <w:pPr>
        <w:ind w:left="709"/>
        <w:jc w:val="both"/>
        <w:rPr>
          <w:rFonts w:cstheme="minorHAnsi"/>
          <w:sz w:val="18"/>
          <w:szCs w:val="18"/>
          <w:highlight w:val="lightGray"/>
        </w:rPr>
      </w:pPr>
      <w:r w:rsidRPr="00B95166">
        <w:rPr>
          <w:rFonts w:cstheme="minorHAnsi"/>
          <w:sz w:val="18"/>
          <w:szCs w:val="18"/>
          <w:highlight w:val="lightGray"/>
        </w:rPr>
        <w:t xml:space="preserve">**Die Festlegung einer konkreten Frist </w:t>
      </w:r>
      <w:r w:rsidR="00077283" w:rsidRPr="00B95166">
        <w:rPr>
          <w:rFonts w:cstheme="minorHAnsi"/>
          <w:sz w:val="18"/>
          <w:szCs w:val="18"/>
          <w:highlight w:val="lightGray"/>
        </w:rPr>
        <w:t xml:space="preserve">ist </w:t>
      </w:r>
      <w:r w:rsidRPr="00B95166">
        <w:rPr>
          <w:rFonts w:cstheme="minorHAnsi"/>
          <w:sz w:val="18"/>
          <w:szCs w:val="18"/>
          <w:highlight w:val="lightGray"/>
        </w:rPr>
        <w:t xml:space="preserve">Sache der Vertragsparteien im Einzelfall. </w:t>
      </w:r>
    </w:p>
    <w:p w14:paraId="74EAE1B7" w14:textId="77777777" w:rsidR="008E6B72" w:rsidRPr="00B95166" w:rsidRDefault="008E6B72" w:rsidP="00C70646">
      <w:pPr>
        <w:ind w:left="709"/>
        <w:jc w:val="both"/>
        <w:rPr>
          <w:rFonts w:cstheme="minorHAnsi"/>
          <w:sz w:val="18"/>
          <w:szCs w:val="18"/>
          <w:highlight w:val="lightGray"/>
        </w:rPr>
      </w:pPr>
    </w:p>
    <w:p w14:paraId="71E2129A" w14:textId="1BCBB23F" w:rsidR="008E6B72" w:rsidRPr="00B95166" w:rsidRDefault="008E6B72" w:rsidP="00C70646">
      <w:pPr>
        <w:ind w:left="709"/>
        <w:jc w:val="both"/>
        <w:rPr>
          <w:rFonts w:cstheme="minorHAnsi"/>
          <w:sz w:val="18"/>
          <w:szCs w:val="18"/>
        </w:rPr>
      </w:pPr>
      <w:r w:rsidRPr="00B95166">
        <w:rPr>
          <w:rFonts w:cstheme="minorHAnsi"/>
          <w:sz w:val="18"/>
          <w:szCs w:val="18"/>
          <w:highlight w:val="lightGray"/>
        </w:rPr>
        <w:t>***Nach den Vorgaben de</w:t>
      </w:r>
      <w:r w:rsidR="00AF0D1E" w:rsidRPr="00B95166">
        <w:rPr>
          <w:rFonts w:cstheme="minorHAnsi"/>
          <w:sz w:val="18"/>
          <w:szCs w:val="18"/>
          <w:highlight w:val="lightGray"/>
        </w:rPr>
        <w:t xml:space="preserve">s Artikel 58 der </w:t>
      </w:r>
      <w:r w:rsidR="00285AA2" w:rsidRPr="00B95166">
        <w:rPr>
          <w:rFonts w:cstheme="minorHAnsi"/>
          <w:sz w:val="18"/>
          <w:szCs w:val="18"/>
          <w:highlight w:val="lightGray"/>
        </w:rPr>
        <w:t>zukünftig</w:t>
      </w:r>
      <w:r w:rsidR="00AF0D1E" w:rsidRPr="00B95166">
        <w:rPr>
          <w:rFonts w:cstheme="minorHAnsi"/>
          <w:sz w:val="18"/>
          <w:szCs w:val="18"/>
          <w:highlight w:val="lightGray"/>
        </w:rPr>
        <w:t>en</w:t>
      </w:r>
      <w:r w:rsidRPr="00B95166">
        <w:rPr>
          <w:rFonts w:cstheme="minorHAnsi"/>
          <w:sz w:val="18"/>
          <w:szCs w:val="18"/>
          <w:highlight w:val="lightGray"/>
        </w:rPr>
        <w:t xml:space="preserve"> EU-Verordnung 536/2014 tragen </w:t>
      </w:r>
      <w:r w:rsidR="00A7217C" w:rsidRPr="00B95166">
        <w:rPr>
          <w:rFonts w:cstheme="minorHAnsi"/>
          <w:sz w:val="18"/>
          <w:szCs w:val="18"/>
          <w:highlight w:val="lightGray"/>
        </w:rPr>
        <w:t>Auftraggeber</w:t>
      </w:r>
      <w:r w:rsidRPr="00B95166">
        <w:rPr>
          <w:rFonts w:cstheme="minorHAnsi"/>
          <w:sz w:val="18"/>
          <w:szCs w:val="18"/>
          <w:highlight w:val="lightGray"/>
        </w:rPr>
        <w:t xml:space="preserve"> und </w:t>
      </w:r>
      <w:r w:rsidR="00A7217C" w:rsidRPr="00B95166">
        <w:rPr>
          <w:rFonts w:cstheme="minorHAnsi"/>
          <w:sz w:val="18"/>
          <w:szCs w:val="18"/>
          <w:highlight w:val="lightGray"/>
        </w:rPr>
        <w:t>das Prüfzentrum</w:t>
      </w:r>
      <w:r w:rsidRPr="00B95166">
        <w:rPr>
          <w:rFonts w:cstheme="minorHAnsi"/>
          <w:sz w:val="18"/>
          <w:szCs w:val="18"/>
          <w:highlight w:val="lightGray"/>
        </w:rPr>
        <w:t xml:space="preserve"> gemeinsam die Verantwortung für die umfassende Archivierung des Master File über die klinische Prüfung für mindestens 25 Jahre.</w:t>
      </w:r>
      <w:r w:rsidRPr="00B95166">
        <w:rPr>
          <w:rFonts w:cstheme="minorHAnsi"/>
          <w:sz w:val="18"/>
          <w:szCs w:val="18"/>
        </w:rPr>
        <w:t xml:space="preserve"> </w:t>
      </w:r>
    </w:p>
    <w:p w14:paraId="08F09828" w14:textId="77777777" w:rsidR="009703EE" w:rsidRDefault="009703EE" w:rsidP="00C70646">
      <w:pPr>
        <w:tabs>
          <w:tab w:val="left" w:pos="5238"/>
        </w:tabs>
        <w:jc w:val="both"/>
        <w:rPr>
          <w:sz w:val="20"/>
          <w:szCs w:val="20"/>
        </w:rPr>
      </w:pPr>
    </w:p>
    <w:p w14:paraId="1109F3E7" w14:textId="77777777" w:rsidR="00C1362D" w:rsidRDefault="00C1362D" w:rsidP="00C70646">
      <w:pPr>
        <w:tabs>
          <w:tab w:val="left" w:pos="5238"/>
        </w:tabs>
        <w:jc w:val="both"/>
        <w:rPr>
          <w:sz w:val="20"/>
          <w:szCs w:val="20"/>
        </w:rPr>
      </w:pPr>
    </w:p>
    <w:p w14:paraId="78178DF4" w14:textId="0C992912" w:rsidR="00B050E9" w:rsidRPr="00B050E9" w:rsidRDefault="00B050E9" w:rsidP="00B050E9">
      <w:pPr>
        <w:ind w:left="851" w:hanging="851"/>
        <w:jc w:val="both"/>
        <w:rPr>
          <w:b/>
          <w:bCs/>
          <w:sz w:val="20"/>
          <w:szCs w:val="20"/>
        </w:rPr>
      </w:pPr>
      <w:r>
        <w:rPr>
          <w:b/>
          <w:bCs/>
          <w:sz w:val="20"/>
          <w:szCs w:val="20"/>
        </w:rPr>
        <w:t>8.</w:t>
      </w:r>
      <w:r>
        <w:rPr>
          <w:b/>
          <w:bCs/>
          <w:sz w:val="20"/>
          <w:szCs w:val="20"/>
        </w:rPr>
        <w:tab/>
      </w:r>
      <w:r w:rsidRPr="00B050E9">
        <w:rPr>
          <w:b/>
          <w:bCs/>
          <w:sz w:val="20"/>
          <w:szCs w:val="20"/>
        </w:rPr>
        <w:t xml:space="preserve">Regelung des Verhältnisses </w:t>
      </w:r>
      <w:r w:rsidR="00FE7E99">
        <w:rPr>
          <w:b/>
          <w:bCs/>
          <w:sz w:val="20"/>
          <w:szCs w:val="20"/>
        </w:rPr>
        <w:t>Auftraggeber</w:t>
      </w:r>
      <w:r w:rsidRPr="00B050E9">
        <w:rPr>
          <w:b/>
          <w:bCs/>
          <w:sz w:val="20"/>
          <w:szCs w:val="20"/>
        </w:rPr>
        <w:t xml:space="preserve"> – Prüfzentrum gemäß den Vorgaben der EU-Datenschutzgrundverordnung</w:t>
      </w:r>
    </w:p>
    <w:p w14:paraId="36A4068C" w14:textId="77777777" w:rsidR="00B050E9" w:rsidRDefault="00B050E9" w:rsidP="00C70646">
      <w:pPr>
        <w:tabs>
          <w:tab w:val="left" w:pos="5238"/>
        </w:tabs>
        <w:jc w:val="both"/>
        <w:rPr>
          <w:sz w:val="20"/>
          <w:szCs w:val="20"/>
        </w:rPr>
      </w:pPr>
    </w:p>
    <w:tbl>
      <w:tblPr>
        <w:tblStyle w:val="Tabellenraster"/>
        <w:tblW w:w="0" w:type="auto"/>
        <w:tblInd w:w="846" w:type="dxa"/>
        <w:tblLook w:val="04A0" w:firstRow="1" w:lastRow="0" w:firstColumn="1" w:lastColumn="0" w:noHBand="0" w:noVBand="1"/>
      </w:tblPr>
      <w:tblGrid>
        <w:gridCol w:w="8216"/>
      </w:tblGrid>
      <w:tr w:rsidR="00B050E9" w:rsidRPr="00B050E9" w14:paraId="3AA3EEF9" w14:textId="77777777" w:rsidTr="00B050E9">
        <w:tc>
          <w:tcPr>
            <w:tcW w:w="8216" w:type="dxa"/>
          </w:tcPr>
          <w:p w14:paraId="2D1F8CD5" w14:textId="77777777" w:rsidR="00B050E9" w:rsidRPr="00B95166" w:rsidRDefault="00B050E9" w:rsidP="00F03342">
            <w:pPr>
              <w:jc w:val="center"/>
              <w:rPr>
                <w:b/>
                <w:bCs/>
                <w:i/>
                <w:iCs/>
                <w:kern w:val="2"/>
                <w:sz w:val="18"/>
                <w:szCs w:val="18"/>
                <w:highlight w:val="lightGray"/>
                <w14:ligatures w14:val="standardContextual"/>
              </w:rPr>
            </w:pPr>
            <w:r w:rsidRPr="00B050E9">
              <w:rPr>
                <w:b/>
                <w:bCs/>
                <w:i/>
                <w:iCs/>
                <w:kern w:val="2"/>
                <w:sz w:val="20"/>
                <w:szCs w:val="20"/>
                <w14:ligatures w14:val="standardContextual"/>
              </w:rPr>
              <w:br/>
            </w:r>
            <w:r w:rsidRPr="00B95166">
              <w:rPr>
                <w:b/>
                <w:bCs/>
                <w:i/>
                <w:iCs/>
                <w:kern w:val="2"/>
                <w:sz w:val="18"/>
                <w:szCs w:val="18"/>
                <w:highlight w:val="lightGray"/>
                <w14:ligatures w14:val="standardContextual"/>
              </w:rPr>
              <w:t>Nutzungshinweise</w:t>
            </w:r>
          </w:p>
          <w:p w14:paraId="2E6A8113" w14:textId="77777777" w:rsidR="00B050E9" w:rsidRPr="00B95166" w:rsidRDefault="00B050E9" w:rsidP="00F03342">
            <w:pPr>
              <w:rPr>
                <w:i/>
                <w:iCs/>
                <w:kern w:val="2"/>
                <w:sz w:val="18"/>
                <w:szCs w:val="18"/>
                <w:highlight w:val="lightGray"/>
                <w14:ligatures w14:val="standardContextual"/>
              </w:rPr>
            </w:pPr>
          </w:p>
          <w:p w14:paraId="46E68A7F" w14:textId="77777777" w:rsidR="00B050E9" w:rsidRPr="00B95166" w:rsidRDefault="00B050E9" w:rsidP="00B050E9">
            <w:pPr>
              <w:numPr>
                <w:ilvl w:val="0"/>
                <w:numId w:val="20"/>
              </w:numPr>
              <w:ind w:left="567" w:hanging="397"/>
              <w:contextualSpacing/>
              <w:rPr>
                <w:i/>
                <w:iCs/>
                <w:kern w:val="2"/>
                <w:sz w:val="18"/>
                <w:szCs w:val="18"/>
                <w:highlight w:val="lightGray"/>
                <w14:ligatures w14:val="standardContextual"/>
              </w:rPr>
            </w:pPr>
            <w:r w:rsidRPr="00B95166">
              <w:rPr>
                <w:rFonts w:eastAsia="Calibri"/>
                <w:i/>
                <w:iCs/>
                <w:sz w:val="18"/>
                <w:szCs w:val="18"/>
                <w:highlight w:val="lightGray"/>
              </w:rPr>
              <w:t>Die vertragliche Festlegung der datenschutzrechtlichen Verantwortlichkeiten im Rahmen der Durchführung klinischer Prüfungen hat viele Facetten und verschiedene Optionen sind für die individuellen Vertragsparteien mit Blick auf ihre konkrete Situation denkbar. Es wird den Vertragsparteien empfohlen, die individuelle Situation genau zu prüfen, um in Abhängigkeit von den Gegebenheiten des Einzelfalls die Festlegung der Verantwortlichkeiten vertraglich zu bestimmen.</w:t>
            </w:r>
          </w:p>
          <w:p w14:paraId="155C06C0" w14:textId="77777777" w:rsidR="00B050E9" w:rsidRPr="00B95166" w:rsidRDefault="00B050E9" w:rsidP="00F03342">
            <w:pPr>
              <w:ind w:left="567" w:hanging="397"/>
              <w:contextualSpacing/>
              <w:rPr>
                <w:i/>
                <w:iCs/>
                <w:kern w:val="2"/>
                <w:sz w:val="18"/>
                <w:szCs w:val="18"/>
                <w:highlight w:val="lightGray"/>
                <w14:ligatures w14:val="standardContextual"/>
              </w:rPr>
            </w:pPr>
          </w:p>
          <w:p w14:paraId="067BBAB6" w14:textId="0293403E" w:rsidR="00B050E9" w:rsidRPr="00B95166" w:rsidRDefault="00B050E9" w:rsidP="00B050E9">
            <w:pPr>
              <w:numPr>
                <w:ilvl w:val="0"/>
                <w:numId w:val="20"/>
              </w:numPr>
              <w:ind w:left="567" w:hanging="397"/>
              <w:contextualSpacing/>
              <w:rPr>
                <w:i/>
                <w:iCs/>
                <w:kern w:val="2"/>
                <w:sz w:val="18"/>
                <w:szCs w:val="18"/>
                <w:highlight w:val="lightGray"/>
                <w14:ligatures w14:val="standardContextual"/>
              </w:rPr>
            </w:pPr>
            <w:r w:rsidRPr="00B95166">
              <w:rPr>
                <w:rFonts w:eastAsia="Calibri"/>
                <w:i/>
                <w:iCs/>
                <w:sz w:val="18"/>
                <w:szCs w:val="18"/>
                <w:highlight w:val="lightGray"/>
              </w:rPr>
              <w:t xml:space="preserve">Bei Einbindung einer Clinical Research Organisation (CRO) auf Seiten des </w:t>
            </w:r>
            <w:r w:rsidR="00FE7E99">
              <w:rPr>
                <w:rFonts w:eastAsia="Calibri"/>
                <w:i/>
                <w:iCs/>
                <w:sz w:val="18"/>
                <w:szCs w:val="18"/>
                <w:highlight w:val="lightGray"/>
              </w:rPr>
              <w:t>Auftraggeber</w:t>
            </w:r>
            <w:r w:rsidRPr="00B95166">
              <w:rPr>
                <w:rFonts w:eastAsia="Calibri"/>
                <w:i/>
                <w:iCs/>
                <w:sz w:val="18"/>
                <w:szCs w:val="18"/>
                <w:highlight w:val="lightGray"/>
              </w:rPr>
              <w:t>s sind mit Blick auf die Datenverarbeitungsvorgänge und Verantwortlichkeiten die Besonderheiten der konkreten Zusammenarbeit zu berücksichtigen und durch ergänzende Vereinbarungen (z.B. durch eine Auftragsverarbeitung) abzubilden.</w:t>
            </w:r>
          </w:p>
          <w:p w14:paraId="53B68C1E" w14:textId="77777777" w:rsidR="00B050E9" w:rsidRPr="00B95166" w:rsidRDefault="00B050E9" w:rsidP="00F03342">
            <w:pPr>
              <w:ind w:left="567" w:hanging="397"/>
              <w:contextualSpacing/>
              <w:rPr>
                <w:i/>
                <w:iCs/>
                <w:kern w:val="2"/>
                <w:sz w:val="18"/>
                <w:szCs w:val="18"/>
                <w:highlight w:val="lightGray"/>
                <w14:ligatures w14:val="standardContextual"/>
              </w:rPr>
            </w:pPr>
          </w:p>
          <w:p w14:paraId="1D2A36FD" w14:textId="77777777" w:rsidR="00B050E9" w:rsidRPr="00B95166" w:rsidRDefault="00B050E9" w:rsidP="00B050E9">
            <w:pPr>
              <w:numPr>
                <w:ilvl w:val="0"/>
                <w:numId w:val="20"/>
              </w:numPr>
              <w:ind w:left="567" w:hanging="397"/>
              <w:contextualSpacing/>
              <w:rPr>
                <w:i/>
                <w:iCs/>
                <w:kern w:val="2"/>
                <w:sz w:val="18"/>
                <w:szCs w:val="18"/>
                <w:highlight w:val="lightGray"/>
                <w14:ligatures w14:val="standardContextual"/>
              </w:rPr>
            </w:pPr>
            <w:r w:rsidRPr="00B95166">
              <w:rPr>
                <w:i/>
                <w:iCs/>
                <w:kern w:val="2"/>
                <w:sz w:val="18"/>
                <w:szCs w:val="18"/>
                <w:highlight w:val="lightGray"/>
                <w14:ligatures w14:val="standardContextual"/>
              </w:rPr>
              <w:t xml:space="preserve">Je nach Konstellation ist individuell zu prüfen und zu vereinbaren, ob bzw. welche Transfermechanismen bei Datentransfers in Drittländer im konkreten </w:t>
            </w:r>
            <w:r w:rsidRPr="00B95166">
              <w:rPr>
                <w:i/>
                <w:iCs/>
                <w:kern w:val="2"/>
                <w:sz w:val="18"/>
                <w:szCs w:val="18"/>
                <w:highlight w:val="lightGray"/>
                <w14:ligatures w14:val="standardContextual"/>
              </w:rPr>
              <w:br/>
              <w:t>Fall Anwendung finden. Neben dem Abschluss von EU-Standardvertragsklauseln zwischen den Parteien besteht insbesondere die Möglichkeit, von den weiteren Transfermechanismen nach Kapitel 5 der DS-GVO Gebrauch zu machen. Ggf. können nach den Richtlinien des Europäischen Datenschutzausschusses auch ergänzende Maßnahmen zur Gewährleistung des Schutzniveaus erforderlich sein.</w:t>
            </w:r>
          </w:p>
          <w:p w14:paraId="778C4473" w14:textId="77777777" w:rsidR="00B050E9" w:rsidRPr="00B95166" w:rsidRDefault="00B050E9" w:rsidP="00F03342">
            <w:pPr>
              <w:ind w:left="567" w:hanging="397"/>
              <w:contextualSpacing/>
              <w:rPr>
                <w:i/>
                <w:iCs/>
                <w:kern w:val="2"/>
                <w:sz w:val="18"/>
                <w:szCs w:val="18"/>
                <w:highlight w:val="lightGray"/>
                <w14:ligatures w14:val="standardContextual"/>
              </w:rPr>
            </w:pPr>
          </w:p>
          <w:p w14:paraId="17EC5174" w14:textId="1678D279" w:rsidR="00B050E9" w:rsidRDefault="00B050E9" w:rsidP="00270A60">
            <w:pPr>
              <w:numPr>
                <w:ilvl w:val="0"/>
                <w:numId w:val="20"/>
              </w:numPr>
              <w:ind w:left="567" w:hanging="397"/>
              <w:contextualSpacing/>
              <w:rPr>
                <w:i/>
                <w:iCs/>
                <w:kern w:val="2"/>
                <w:sz w:val="18"/>
                <w:szCs w:val="18"/>
                <w:highlight w:val="lightGray"/>
                <w14:ligatures w14:val="standardContextual"/>
              </w:rPr>
            </w:pPr>
            <w:r w:rsidRPr="00B95166">
              <w:rPr>
                <w:i/>
                <w:iCs/>
                <w:kern w:val="2"/>
                <w:sz w:val="18"/>
                <w:szCs w:val="18"/>
                <w:highlight w:val="lightGray"/>
                <w14:ligatures w14:val="standardContextual"/>
              </w:rPr>
              <w:t>Wenn Ausnahmetatbestände zur Löschung greifen sollen (vgl. § 3 Abs.4), ist das Vorliegen der Tatbestandsvoraussetzungen im Einzelfall genau zu prüfen.</w:t>
            </w:r>
          </w:p>
          <w:p w14:paraId="3A1617D7" w14:textId="77777777" w:rsidR="00BD5448" w:rsidRPr="00B95166" w:rsidRDefault="00BD5448" w:rsidP="00EF36AE">
            <w:pPr>
              <w:ind w:left="567"/>
              <w:contextualSpacing/>
              <w:rPr>
                <w:i/>
                <w:iCs/>
                <w:kern w:val="2"/>
                <w:sz w:val="18"/>
                <w:szCs w:val="18"/>
                <w:highlight w:val="lightGray"/>
                <w14:ligatures w14:val="standardContextual"/>
              </w:rPr>
            </w:pPr>
          </w:p>
          <w:p w14:paraId="1BE1D510" w14:textId="5C1C882E" w:rsidR="00B050E9" w:rsidRPr="00B95166" w:rsidRDefault="00B050E9" w:rsidP="00A05238">
            <w:pPr>
              <w:numPr>
                <w:ilvl w:val="0"/>
                <w:numId w:val="20"/>
              </w:numPr>
              <w:ind w:left="567" w:hanging="397"/>
              <w:contextualSpacing/>
              <w:rPr>
                <w:i/>
                <w:iCs/>
                <w:sz w:val="18"/>
                <w:szCs w:val="18"/>
                <w:highlight w:val="lightGray"/>
              </w:rPr>
            </w:pPr>
            <w:r w:rsidRPr="00B95166">
              <w:rPr>
                <w:i/>
                <w:iCs/>
                <w:kern w:val="2"/>
                <w:sz w:val="18"/>
                <w:szCs w:val="18"/>
                <w:highlight w:val="lightGray"/>
                <w14:ligatures w14:val="standardContextual"/>
              </w:rPr>
              <w:t>Die Parteien können einander die für die gegenständliche Datenverarbeitung jeweils getroffenen technischen und organisatorischen Maßnahmen zur Verfügung stellen, sofern die Wirksamkeit der technischen und organisatorischen Maßnahmen dadurch nicht beeinträchtigt wird.</w:t>
            </w:r>
          </w:p>
          <w:p w14:paraId="41B7938A" w14:textId="77777777" w:rsidR="00B050E9" w:rsidRPr="00B050E9" w:rsidRDefault="00B050E9" w:rsidP="00F03342">
            <w:pPr>
              <w:rPr>
                <w:i/>
                <w:iCs/>
              </w:rPr>
            </w:pPr>
          </w:p>
        </w:tc>
      </w:tr>
    </w:tbl>
    <w:p w14:paraId="5C925542" w14:textId="77777777" w:rsidR="00B050E9" w:rsidRDefault="00B050E9" w:rsidP="00C70646">
      <w:pPr>
        <w:tabs>
          <w:tab w:val="left" w:pos="5238"/>
        </w:tabs>
        <w:jc w:val="both"/>
        <w:rPr>
          <w:sz w:val="20"/>
          <w:szCs w:val="20"/>
        </w:rPr>
      </w:pPr>
    </w:p>
    <w:p w14:paraId="75114A5F" w14:textId="77777777" w:rsidR="00B050E9" w:rsidRDefault="00B050E9" w:rsidP="00C70646">
      <w:pPr>
        <w:tabs>
          <w:tab w:val="left" w:pos="5238"/>
        </w:tabs>
        <w:jc w:val="both"/>
        <w:rPr>
          <w:sz w:val="20"/>
          <w:szCs w:val="20"/>
        </w:rPr>
      </w:pPr>
    </w:p>
    <w:p w14:paraId="21D77546" w14:textId="77777777" w:rsidR="00B050E9" w:rsidRDefault="00B050E9" w:rsidP="00B050E9">
      <w:pPr>
        <w:tabs>
          <w:tab w:val="left" w:pos="5238"/>
        </w:tabs>
        <w:jc w:val="both"/>
        <w:rPr>
          <w:sz w:val="20"/>
          <w:szCs w:val="20"/>
        </w:rPr>
      </w:pPr>
      <w:r w:rsidRPr="00B050E9">
        <w:rPr>
          <w:sz w:val="20"/>
          <w:szCs w:val="20"/>
        </w:rPr>
        <w:t xml:space="preserve">Die Parteien möchten Regelungen und Bedingungen vereinbaren, um sicherzustellen, dass die Vorgaben der EU-Datenschutzgrundverordnung, Verordnung (EU) 2016/679 („DS-GVO“), erfüllt werden. Die nachstehende Mustervertragsklausel bildet die Konstellation einer gemeinsamen Verantwortlichkeit ab. </w:t>
      </w:r>
    </w:p>
    <w:p w14:paraId="0571DDC7" w14:textId="77777777" w:rsidR="00B050E9" w:rsidRPr="00B050E9" w:rsidRDefault="00B050E9" w:rsidP="00B050E9">
      <w:pPr>
        <w:tabs>
          <w:tab w:val="left" w:pos="5238"/>
        </w:tabs>
        <w:jc w:val="both"/>
        <w:rPr>
          <w:sz w:val="20"/>
          <w:szCs w:val="20"/>
        </w:rPr>
      </w:pPr>
    </w:p>
    <w:p w14:paraId="61BACEC0" w14:textId="77777777" w:rsidR="00B050E9" w:rsidRDefault="00B050E9" w:rsidP="00B050E9">
      <w:pPr>
        <w:tabs>
          <w:tab w:val="left" w:pos="5238"/>
        </w:tabs>
        <w:jc w:val="both"/>
        <w:rPr>
          <w:sz w:val="20"/>
          <w:szCs w:val="20"/>
        </w:rPr>
      </w:pPr>
      <w:r w:rsidRPr="00B050E9">
        <w:rPr>
          <w:sz w:val="20"/>
          <w:szCs w:val="20"/>
        </w:rPr>
        <w:t xml:space="preserve">Im Folgenden finden die Begriffsbestimmungen des Art. 4 DS-GVO Anwendung. </w:t>
      </w:r>
    </w:p>
    <w:p w14:paraId="4F30C969" w14:textId="77777777" w:rsidR="00B95166" w:rsidRPr="00B050E9" w:rsidRDefault="00B95166" w:rsidP="00B050E9">
      <w:pPr>
        <w:tabs>
          <w:tab w:val="left" w:pos="5238"/>
        </w:tabs>
        <w:jc w:val="both"/>
        <w:rPr>
          <w:sz w:val="20"/>
          <w:szCs w:val="20"/>
        </w:rPr>
      </w:pPr>
    </w:p>
    <w:p w14:paraId="02BFC3F1" w14:textId="4F5D79B4" w:rsidR="00B050E9" w:rsidRPr="0091456B" w:rsidRDefault="00B050E9" w:rsidP="00B050E9">
      <w:pPr>
        <w:jc w:val="both"/>
        <w:rPr>
          <w:sz w:val="20"/>
          <w:szCs w:val="20"/>
          <w:u w:val="single"/>
        </w:rPr>
      </w:pPr>
      <w:r w:rsidRPr="0091456B">
        <w:rPr>
          <w:sz w:val="20"/>
          <w:szCs w:val="20"/>
          <w:u w:val="single"/>
        </w:rPr>
        <w:t>8.1</w:t>
      </w:r>
      <w:r w:rsidRPr="0091456B">
        <w:rPr>
          <w:sz w:val="20"/>
          <w:szCs w:val="20"/>
          <w:u w:val="single"/>
        </w:rPr>
        <w:tab/>
      </w:r>
      <w:r w:rsidRPr="00B050E9">
        <w:rPr>
          <w:sz w:val="20"/>
          <w:szCs w:val="20"/>
          <w:u w:val="single"/>
        </w:rPr>
        <w:t>Verantwortlichkeiten</w:t>
      </w:r>
      <w:r w:rsidR="0091456B" w:rsidRPr="0091456B">
        <w:rPr>
          <w:sz w:val="20"/>
          <w:szCs w:val="20"/>
          <w:u w:val="single"/>
        </w:rPr>
        <w:t>.</w:t>
      </w:r>
    </w:p>
    <w:p w14:paraId="5D87AEA5" w14:textId="77777777" w:rsidR="00B95166" w:rsidRPr="00B050E9" w:rsidRDefault="00B95166" w:rsidP="00B050E9">
      <w:pPr>
        <w:jc w:val="both"/>
        <w:rPr>
          <w:sz w:val="20"/>
          <w:szCs w:val="20"/>
        </w:rPr>
      </w:pPr>
    </w:p>
    <w:p w14:paraId="11CC9333" w14:textId="77777777" w:rsidR="00B050E9" w:rsidRPr="00B050E9" w:rsidRDefault="00B050E9" w:rsidP="00B050E9">
      <w:pPr>
        <w:tabs>
          <w:tab w:val="left" w:pos="5238"/>
        </w:tabs>
        <w:jc w:val="both"/>
        <w:rPr>
          <w:sz w:val="20"/>
          <w:szCs w:val="20"/>
        </w:rPr>
      </w:pPr>
      <w:r w:rsidRPr="00B050E9">
        <w:rPr>
          <w:sz w:val="20"/>
          <w:szCs w:val="20"/>
        </w:rPr>
        <w:t xml:space="preserve">Die Parteien sind im Hinblick auf die im Rahmen dieses Vertrages durchgeführte Datenverarbeitung und den Schutz der entsprechenden personenbezogenen Daten der Studienteilnehmenden als gemeinsam Verantwortliche im Sinne des Art. 4 Nr. 7 und </w:t>
      </w:r>
      <w:r w:rsidRPr="00B050E9">
        <w:rPr>
          <w:sz w:val="20"/>
          <w:szCs w:val="20"/>
        </w:rPr>
        <w:br/>
        <w:t xml:space="preserve">Art. 26 DS-GVO einzuordnen. Die Einzelheiten der gemeinsamen Verantwortlichkeit der </w:t>
      </w:r>
      <w:r w:rsidRPr="00B050E9">
        <w:rPr>
          <w:sz w:val="20"/>
          <w:szCs w:val="20"/>
        </w:rPr>
        <w:lastRenderedPageBreak/>
        <w:t>Parteien werden in einer Vereinbarung über die gemeinsame Verantwortlichkeit festgelegt. Eine solche Vereinbarung ist diesem Vertrag als Anhang beigefügt.</w:t>
      </w:r>
    </w:p>
    <w:p w14:paraId="7037CA2B" w14:textId="77777777" w:rsidR="00B050E9" w:rsidRPr="00B050E9" w:rsidRDefault="00B050E9" w:rsidP="00B050E9">
      <w:pPr>
        <w:tabs>
          <w:tab w:val="left" w:pos="5238"/>
        </w:tabs>
        <w:jc w:val="both"/>
        <w:rPr>
          <w:sz w:val="20"/>
          <w:szCs w:val="20"/>
        </w:rPr>
      </w:pPr>
    </w:p>
    <w:p w14:paraId="2753BEC5" w14:textId="5012C575" w:rsidR="00B050E9" w:rsidRPr="0091456B" w:rsidRDefault="00B050E9" w:rsidP="00B050E9">
      <w:pPr>
        <w:jc w:val="both"/>
        <w:rPr>
          <w:sz w:val="20"/>
          <w:szCs w:val="20"/>
          <w:u w:val="single"/>
        </w:rPr>
      </w:pPr>
      <w:r w:rsidRPr="0091456B">
        <w:rPr>
          <w:sz w:val="20"/>
          <w:szCs w:val="20"/>
          <w:u w:val="single"/>
        </w:rPr>
        <w:t>8.2</w:t>
      </w:r>
      <w:r w:rsidRPr="0091456B">
        <w:rPr>
          <w:sz w:val="20"/>
          <w:szCs w:val="20"/>
          <w:u w:val="single"/>
        </w:rPr>
        <w:tab/>
      </w:r>
      <w:r w:rsidRPr="00B050E9">
        <w:rPr>
          <w:sz w:val="20"/>
          <w:szCs w:val="20"/>
          <w:u w:val="single"/>
        </w:rPr>
        <w:t>Verarbeitung Mitarbeiterdaten</w:t>
      </w:r>
      <w:r w:rsidR="0091456B" w:rsidRPr="0091456B">
        <w:rPr>
          <w:sz w:val="20"/>
          <w:szCs w:val="20"/>
          <w:u w:val="single"/>
        </w:rPr>
        <w:t>.</w:t>
      </w:r>
    </w:p>
    <w:p w14:paraId="677A8D18" w14:textId="77777777" w:rsidR="00B95166" w:rsidRPr="00B050E9" w:rsidRDefault="00B95166" w:rsidP="00B050E9">
      <w:pPr>
        <w:jc w:val="both"/>
        <w:rPr>
          <w:bCs/>
          <w:sz w:val="20"/>
          <w:szCs w:val="20"/>
        </w:rPr>
      </w:pPr>
    </w:p>
    <w:p w14:paraId="52CA5BD0" w14:textId="77777777" w:rsidR="00B050E9" w:rsidRPr="00B050E9" w:rsidRDefault="00B050E9" w:rsidP="00B050E9">
      <w:pPr>
        <w:tabs>
          <w:tab w:val="left" w:pos="5238"/>
        </w:tabs>
        <w:jc w:val="both"/>
        <w:rPr>
          <w:sz w:val="20"/>
          <w:szCs w:val="20"/>
        </w:rPr>
      </w:pPr>
      <w:r w:rsidRPr="00B050E9">
        <w:rPr>
          <w:sz w:val="20"/>
          <w:szCs w:val="20"/>
        </w:rPr>
        <w:t>Das gegenständliche Vertragsverhältnis erfordert unter anderem die Verarbeitung von Mitarbeiterdaten der anderen Partei. Das Vorliegen der einschlägigen Rechtsgrundlagen stellt die jeweilige Partei sicher und informiert die Betroffenen entsprechend. Die Verarbeitung von Mitarbeiterdaten ist nicht Teil der gemeinsamen Verantwortlichkeit.</w:t>
      </w:r>
    </w:p>
    <w:p w14:paraId="38312902" w14:textId="77777777" w:rsidR="00B050E9" w:rsidRPr="00B050E9" w:rsidRDefault="00B050E9" w:rsidP="00B050E9">
      <w:pPr>
        <w:tabs>
          <w:tab w:val="left" w:pos="5238"/>
        </w:tabs>
        <w:jc w:val="both"/>
        <w:rPr>
          <w:sz w:val="20"/>
          <w:szCs w:val="20"/>
        </w:rPr>
      </w:pPr>
      <w:r w:rsidRPr="00B050E9">
        <w:rPr>
          <w:sz w:val="20"/>
          <w:szCs w:val="20"/>
        </w:rPr>
        <w:t xml:space="preserve">Jede Partei gewährt der anderen Partei Zugriff auf personenbezogene Daten von Mitarbeitern bzw. erlaubt der anderen Partei personenbezogene Daten ihrer Mitarbeiter sowie der Mitarbeiter ihrer Kooperationspartner und Unterauftragnehmer („Kontaktpersonen“), insbesondere Name und dienstliche Kontaktdaten (z. B. Telefon, </w:t>
      </w:r>
      <w:r w:rsidRPr="00B050E9">
        <w:rPr>
          <w:sz w:val="20"/>
          <w:szCs w:val="20"/>
        </w:rPr>
        <w:br/>
        <w:t>E-Mail), zu erheben und zu verarbeiten, soweit dies für eine ordnungsgemäße Vertragsabwicklung erforderlich und auf Basis der einschlägigen Rechtsgrundlagen zulässig ist.</w:t>
      </w:r>
    </w:p>
    <w:p w14:paraId="50FF0186" w14:textId="77777777" w:rsidR="00B050E9" w:rsidRPr="00B050E9" w:rsidRDefault="00B050E9" w:rsidP="00B050E9">
      <w:pPr>
        <w:tabs>
          <w:tab w:val="left" w:pos="5238"/>
        </w:tabs>
        <w:jc w:val="both"/>
        <w:rPr>
          <w:sz w:val="20"/>
          <w:szCs w:val="20"/>
        </w:rPr>
      </w:pPr>
      <w:r w:rsidRPr="00B050E9">
        <w:rPr>
          <w:sz w:val="20"/>
          <w:szCs w:val="20"/>
        </w:rPr>
        <w:t>Die Parteien werden der jeweils anderen Partei eine Datenschutzerklärung zur Verfügung stellen, die den Anforderungen des Art. 13 und 14 DS-GVO genügt. Die Parteien unterstützen sich gegenseitig dabei, die von der anderen Vertragspartei zur Verfügung gestellten Informationen im Bedarfsfall intern bekannt zu machen.</w:t>
      </w:r>
    </w:p>
    <w:p w14:paraId="61EA5CAD" w14:textId="77777777" w:rsidR="00B050E9" w:rsidRPr="00B050E9" w:rsidRDefault="00B050E9" w:rsidP="00B050E9">
      <w:pPr>
        <w:tabs>
          <w:tab w:val="left" w:pos="5238"/>
        </w:tabs>
        <w:jc w:val="both"/>
        <w:rPr>
          <w:sz w:val="20"/>
          <w:szCs w:val="20"/>
        </w:rPr>
      </w:pPr>
    </w:p>
    <w:p w14:paraId="76F2415F" w14:textId="7B2DF5E3" w:rsidR="00B050E9" w:rsidRPr="0091456B" w:rsidRDefault="00B95166" w:rsidP="00B95166">
      <w:pPr>
        <w:jc w:val="both"/>
        <w:rPr>
          <w:bCs/>
          <w:sz w:val="20"/>
          <w:szCs w:val="20"/>
          <w:u w:val="single"/>
        </w:rPr>
      </w:pPr>
      <w:r w:rsidRPr="0091456B">
        <w:rPr>
          <w:bCs/>
          <w:sz w:val="20"/>
          <w:szCs w:val="20"/>
          <w:u w:val="single"/>
        </w:rPr>
        <w:t>8.3</w:t>
      </w:r>
      <w:r w:rsidRPr="0091456B">
        <w:rPr>
          <w:bCs/>
          <w:sz w:val="20"/>
          <w:szCs w:val="20"/>
          <w:u w:val="single"/>
        </w:rPr>
        <w:tab/>
      </w:r>
      <w:r w:rsidR="00B050E9" w:rsidRPr="00B050E9">
        <w:rPr>
          <w:bCs/>
          <w:sz w:val="20"/>
          <w:szCs w:val="20"/>
          <w:u w:val="single"/>
        </w:rPr>
        <w:t>Datentransfer in Nicht-EU/EWR-Länder</w:t>
      </w:r>
      <w:r w:rsidR="0091456B" w:rsidRPr="0091456B">
        <w:rPr>
          <w:bCs/>
          <w:sz w:val="20"/>
          <w:szCs w:val="20"/>
          <w:u w:val="single"/>
        </w:rPr>
        <w:t>.</w:t>
      </w:r>
      <w:r w:rsidR="00B050E9" w:rsidRPr="00B050E9">
        <w:rPr>
          <w:bCs/>
          <w:sz w:val="20"/>
          <w:szCs w:val="20"/>
          <w:u w:val="single"/>
        </w:rPr>
        <w:t xml:space="preserve"> </w:t>
      </w:r>
    </w:p>
    <w:p w14:paraId="7BF3A90B" w14:textId="77777777" w:rsidR="00B95166" w:rsidRPr="00B050E9" w:rsidRDefault="00B95166" w:rsidP="00B050E9">
      <w:pPr>
        <w:tabs>
          <w:tab w:val="left" w:pos="5238"/>
        </w:tabs>
        <w:jc w:val="both"/>
        <w:rPr>
          <w:bCs/>
          <w:sz w:val="20"/>
          <w:szCs w:val="20"/>
        </w:rPr>
      </w:pPr>
    </w:p>
    <w:p w14:paraId="46C2C243" w14:textId="043AF1B1" w:rsidR="00B050E9" w:rsidRPr="00B95166" w:rsidRDefault="00B95166" w:rsidP="00B95166">
      <w:pPr>
        <w:tabs>
          <w:tab w:val="left" w:pos="5238"/>
        </w:tabs>
        <w:ind w:left="426"/>
        <w:jc w:val="both"/>
        <w:rPr>
          <w:i/>
          <w:sz w:val="18"/>
          <w:szCs w:val="18"/>
        </w:rPr>
      </w:pPr>
      <w:r w:rsidRPr="00B95166">
        <w:rPr>
          <w:i/>
          <w:sz w:val="18"/>
          <w:szCs w:val="18"/>
          <w:highlight w:val="lightGray"/>
        </w:rPr>
        <w:t xml:space="preserve">Hinweis: </w:t>
      </w:r>
      <w:r w:rsidR="00B050E9" w:rsidRPr="00B050E9">
        <w:rPr>
          <w:i/>
          <w:sz w:val="18"/>
          <w:szCs w:val="18"/>
          <w:highlight w:val="lightGray"/>
        </w:rPr>
        <w:t xml:space="preserve">Bei einem </w:t>
      </w:r>
      <w:r w:rsidR="00FE7E99">
        <w:rPr>
          <w:i/>
          <w:sz w:val="18"/>
          <w:szCs w:val="18"/>
          <w:highlight w:val="lightGray"/>
        </w:rPr>
        <w:t>Auftraggeber</w:t>
      </w:r>
      <w:r w:rsidR="00B050E9" w:rsidRPr="00B050E9">
        <w:rPr>
          <w:i/>
          <w:sz w:val="18"/>
          <w:szCs w:val="18"/>
          <w:highlight w:val="lightGray"/>
        </w:rPr>
        <w:t xml:space="preserve"> mit Sitz in der EU/EWR oder mit Sitz in einem Land, für das ein Angemessenheitsbeschluss der Europäischen Kommission vorliegt, ist folgende Formulierung zu nutzen:</w:t>
      </w:r>
      <w:r w:rsidR="00B050E9" w:rsidRPr="00B050E9">
        <w:rPr>
          <w:i/>
          <w:sz w:val="18"/>
          <w:szCs w:val="18"/>
        </w:rPr>
        <w:t xml:space="preserve"> </w:t>
      </w:r>
    </w:p>
    <w:p w14:paraId="75E03884" w14:textId="77777777" w:rsidR="00B95166" w:rsidRPr="00B050E9" w:rsidRDefault="00B95166" w:rsidP="00B050E9">
      <w:pPr>
        <w:tabs>
          <w:tab w:val="left" w:pos="5238"/>
        </w:tabs>
        <w:jc w:val="both"/>
        <w:rPr>
          <w:i/>
          <w:sz w:val="20"/>
          <w:szCs w:val="20"/>
        </w:rPr>
      </w:pPr>
    </w:p>
    <w:p w14:paraId="38A35BC8" w14:textId="77777777" w:rsidR="00B050E9" w:rsidRPr="00B050E9" w:rsidRDefault="00B050E9" w:rsidP="00B050E9">
      <w:pPr>
        <w:tabs>
          <w:tab w:val="left" w:pos="5238"/>
        </w:tabs>
        <w:jc w:val="both"/>
        <w:rPr>
          <w:sz w:val="20"/>
          <w:szCs w:val="20"/>
        </w:rPr>
      </w:pPr>
      <w:r w:rsidRPr="00B050E9">
        <w:rPr>
          <w:sz w:val="20"/>
          <w:szCs w:val="20"/>
        </w:rPr>
        <w:t xml:space="preserve">Sofern eine Partei beabsichtigt, personenbezogene Daten in ein Drittland, d.h. ein Land außerhalb der EU oder des EWR, zu übermitteln, wird sie jeweils sicherstellen und zusichern, dass bei Übermittlung die Bestimmungen der DS-GVO, insbesondere des Kapitels 5 eingehalten werden, um ein angemessenes Datenschutzniveau zu gewährleisten. </w:t>
      </w:r>
    </w:p>
    <w:p w14:paraId="6E04E085" w14:textId="77777777" w:rsidR="00B050E9" w:rsidRPr="00B050E9" w:rsidRDefault="00B050E9" w:rsidP="00B050E9">
      <w:pPr>
        <w:tabs>
          <w:tab w:val="left" w:pos="5238"/>
        </w:tabs>
        <w:jc w:val="both"/>
        <w:rPr>
          <w:sz w:val="20"/>
          <w:szCs w:val="20"/>
        </w:rPr>
      </w:pPr>
    </w:p>
    <w:p w14:paraId="4C26387D" w14:textId="442B1CF8" w:rsidR="00B050E9" w:rsidRPr="00B95166" w:rsidRDefault="00B050E9" w:rsidP="00B95166">
      <w:pPr>
        <w:tabs>
          <w:tab w:val="left" w:pos="5238"/>
        </w:tabs>
        <w:ind w:left="426"/>
        <w:jc w:val="both"/>
        <w:rPr>
          <w:i/>
          <w:sz w:val="18"/>
          <w:szCs w:val="18"/>
        </w:rPr>
      </w:pPr>
      <w:r w:rsidRPr="00B050E9">
        <w:rPr>
          <w:i/>
          <w:sz w:val="18"/>
          <w:szCs w:val="18"/>
          <w:highlight w:val="lightGray"/>
          <w:u w:val="single"/>
        </w:rPr>
        <w:t>Alternative</w:t>
      </w:r>
      <w:r w:rsidRPr="00B050E9">
        <w:rPr>
          <w:i/>
          <w:sz w:val="18"/>
          <w:szCs w:val="18"/>
          <w:highlight w:val="lightGray"/>
        </w:rPr>
        <w:t xml:space="preserve"> bei Sitz des </w:t>
      </w:r>
      <w:r w:rsidR="00FE7E99">
        <w:rPr>
          <w:i/>
          <w:sz w:val="18"/>
          <w:szCs w:val="18"/>
          <w:highlight w:val="lightGray"/>
        </w:rPr>
        <w:t>Auftraggeber</w:t>
      </w:r>
      <w:r w:rsidRPr="00B050E9">
        <w:rPr>
          <w:i/>
          <w:sz w:val="18"/>
          <w:szCs w:val="18"/>
          <w:highlight w:val="lightGray"/>
        </w:rPr>
        <w:t>s außerhalb der EU/des EWR oder in einem Land, für das kein Angemessenheitsbeschluss der EU-Kommission vorliegt:</w:t>
      </w:r>
    </w:p>
    <w:p w14:paraId="31013C70" w14:textId="77777777" w:rsidR="00B95166" w:rsidRPr="00B050E9" w:rsidRDefault="00B95166" w:rsidP="00B050E9">
      <w:pPr>
        <w:tabs>
          <w:tab w:val="left" w:pos="5238"/>
        </w:tabs>
        <w:jc w:val="both"/>
        <w:rPr>
          <w:i/>
          <w:sz w:val="20"/>
          <w:szCs w:val="20"/>
        </w:rPr>
      </w:pPr>
    </w:p>
    <w:p w14:paraId="7151FC15" w14:textId="53F289F1" w:rsidR="00B050E9" w:rsidRPr="00B050E9" w:rsidRDefault="00B050E9" w:rsidP="00B050E9">
      <w:pPr>
        <w:tabs>
          <w:tab w:val="left" w:pos="5238"/>
        </w:tabs>
        <w:jc w:val="both"/>
        <w:rPr>
          <w:sz w:val="20"/>
          <w:szCs w:val="20"/>
        </w:rPr>
      </w:pPr>
      <w:r w:rsidRPr="00B050E9">
        <w:rPr>
          <w:iCs/>
          <w:sz w:val="20"/>
          <w:szCs w:val="20"/>
        </w:rPr>
        <w:t>Vereinbarung der EU-Standardvertragsklauseln:</w:t>
      </w:r>
      <w:r w:rsidRPr="00B050E9">
        <w:rPr>
          <w:i/>
          <w:sz w:val="20"/>
          <w:szCs w:val="20"/>
        </w:rPr>
        <w:t xml:space="preserve"> </w:t>
      </w:r>
      <w:r w:rsidRPr="00B050E9">
        <w:rPr>
          <w:sz w:val="20"/>
          <w:szCs w:val="20"/>
        </w:rPr>
        <w:t xml:space="preserve">Aufgrund des Sitzes des </w:t>
      </w:r>
      <w:r w:rsidR="00FE7E99">
        <w:rPr>
          <w:sz w:val="20"/>
          <w:szCs w:val="20"/>
        </w:rPr>
        <w:t>Auftraggeber</w:t>
      </w:r>
      <w:r w:rsidRPr="00B050E9">
        <w:rPr>
          <w:sz w:val="20"/>
          <w:szCs w:val="20"/>
        </w:rPr>
        <w:t xml:space="preserve">s in einem Land außerhalb der Europäischen Union und der damit verbundenen Übermittlung von personenbezogenen Daten in ein Drittland, verpflichten sich die Parteien zum Abschluss der von der EU-Kommission genehmigten Standarddatenschutzklauseln im Sinne des Art. 46 Abs. 2 c) EU-DS-GVO, um ein angemessenes Datenschutzniveau im Drittland sicherzustellen. </w:t>
      </w:r>
    </w:p>
    <w:p w14:paraId="610DBC8A" w14:textId="77777777" w:rsidR="00B050E9" w:rsidRDefault="00B050E9" w:rsidP="00C70646">
      <w:pPr>
        <w:tabs>
          <w:tab w:val="left" w:pos="5238"/>
        </w:tabs>
        <w:jc w:val="both"/>
        <w:rPr>
          <w:sz w:val="20"/>
          <w:szCs w:val="20"/>
        </w:rPr>
      </w:pPr>
    </w:p>
    <w:p w14:paraId="7E174F4F" w14:textId="77777777" w:rsidR="00B050E9" w:rsidRDefault="00B050E9" w:rsidP="00C70646">
      <w:pPr>
        <w:tabs>
          <w:tab w:val="left" w:pos="5238"/>
        </w:tabs>
        <w:jc w:val="both"/>
        <w:rPr>
          <w:sz w:val="20"/>
          <w:szCs w:val="20"/>
        </w:rPr>
      </w:pPr>
    </w:p>
    <w:p w14:paraId="45DE8F54" w14:textId="7DFF1335" w:rsidR="001F2B1B" w:rsidRDefault="00B95166" w:rsidP="00C70646">
      <w:pPr>
        <w:jc w:val="both"/>
        <w:rPr>
          <w:b/>
          <w:sz w:val="20"/>
          <w:szCs w:val="20"/>
        </w:rPr>
      </w:pPr>
      <w:r>
        <w:rPr>
          <w:b/>
          <w:sz w:val="20"/>
          <w:szCs w:val="20"/>
        </w:rPr>
        <w:t>9</w:t>
      </w:r>
      <w:r w:rsidR="001F2B1B" w:rsidRPr="001F2B1B">
        <w:rPr>
          <w:b/>
          <w:sz w:val="20"/>
          <w:szCs w:val="20"/>
        </w:rPr>
        <w:t xml:space="preserve">. </w:t>
      </w:r>
      <w:r w:rsidR="00C05BE4">
        <w:rPr>
          <w:b/>
          <w:sz w:val="20"/>
          <w:szCs w:val="20"/>
        </w:rPr>
        <w:tab/>
      </w:r>
      <w:r w:rsidR="00845A31" w:rsidRPr="001F2B1B">
        <w:rPr>
          <w:b/>
          <w:sz w:val="20"/>
          <w:szCs w:val="20"/>
        </w:rPr>
        <w:t>Überlassene Geräte oder Materialien</w:t>
      </w:r>
    </w:p>
    <w:p w14:paraId="3E883E00" w14:textId="77777777" w:rsidR="00B95166" w:rsidRDefault="00B95166" w:rsidP="00C70646">
      <w:pPr>
        <w:jc w:val="both"/>
        <w:rPr>
          <w:sz w:val="20"/>
          <w:szCs w:val="20"/>
        </w:rPr>
      </w:pPr>
    </w:p>
    <w:p w14:paraId="062D5C04" w14:textId="7A5C6059" w:rsidR="00845A31" w:rsidRPr="00B95166" w:rsidRDefault="00845A31" w:rsidP="00B95166">
      <w:pPr>
        <w:tabs>
          <w:tab w:val="left" w:pos="5238"/>
        </w:tabs>
        <w:ind w:left="426"/>
        <w:jc w:val="both"/>
        <w:rPr>
          <w:sz w:val="18"/>
          <w:szCs w:val="18"/>
        </w:rPr>
      </w:pPr>
      <w:r w:rsidRPr="00B95166">
        <w:rPr>
          <w:i/>
          <w:sz w:val="18"/>
          <w:szCs w:val="18"/>
          <w:highlight w:val="lightGray"/>
          <w:u w:val="single"/>
        </w:rPr>
        <w:t>Anmerkung</w:t>
      </w:r>
      <w:r w:rsidRPr="00B95166">
        <w:rPr>
          <w:i/>
          <w:sz w:val="18"/>
          <w:szCs w:val="18"/>
          <w:highlight w:val="lightGray"/>
        </w:rPr>
        <w:t>: Diese Klausel sollte nur im Bedarfsfall in eine</w:t>
      </w:r>
      <w:r w:rsidR="000F2E47" w:rsidRPr="00B95166">
        <w:rPr>
          <w:i/>
          <w:sz w:val="18"/>
          <w:szCs w:val="18"/>
          <w:highlight w:val="lightGray"/>
        </w:rPr>
        <w:t xml:space="preserve">n Vertrag aufgenommen werden. </w:t>
      </w:r>
      <w:r w:rsidR="00B5633A" w:rsidRPr="00B95166">
        <w:rPr>
          <w:i/>
          <w:sz w:val="18"/>
          <w:szCs w:val="18"/>
          <w:highlight w:val="lightGray"/>
        </w:rPr>
        <w:t xml:space="preserve">Ggf. sind weitere Regelungen </w:t>
      </w:r>
      <w:r w:rsidR="00CB0F60" w:rsidRPr="00B95166">
        <w:rPr>
          <w:i/>
          <w:sz w:val="18"/>
          <w:szCs w:val="18"/>
          <w:highlight w:val="lightGray"/>
        </w:rPr>
        <w:t>nötig</w:t>
      </w:r>
      <w:r w:rsidR="00B5633A" w:rsidRPr="00B95166">
        <w:rPr>
          <w:i/>
          <w:sz w:val="18"/>
          <w:szCs w:val="18"/>
          <w:highlight w:val="lightGray"/>
        </w:rPr>
        <w:t>, wenn ein Dritter die Geräte/Materialien zur Verfügung stellt.</w:t>
      </w:r>
    </w:p>
    <w:p w14:paraId="152FB868" w14:textId="77777777" w:rsidR="00845A31" w:rsidRDefault="00845A31" w:rsidP="00C70646">
      <w:pPr>
        <w:tabs>
          <w:tab w:val="left" w:pos="5238"/>
        </w:tabs>
        <w:jc w:val="both"/>
        <w:rPr>
          <w:sz w:val="20"/>
          <w:szCs w:val="20"/>
        </w:rPr>
      </w:pPr>
    </w:p>
    <w:p w14:paraId="4F799081" w14:textId="64652F37" w:rsidR="00845A31" w:rsidRPr="00845A31" w:rsidRDefault="00845A31" w:rsidP="00C70646">
      <w:pPr>
        <w:tabs>
          <w:tab w:val="left" w:pos="5238"/>
        </w:tabs>
        <w:jc w:val="both"/>
        <w:rPr>
          <w:sz w:val="20"/>
          <w:szCs w:val="20"/>
        </w:rPr>
      </w:pPr>
      <w:r w:rsidRPr="00845A31">
        <w:rPr>
          <w:sz w:val="20"/>
          <w:szCs w:val="20"/>
        </w:rPr>
        <w:t xml:space="preserve">Sofern der </w:t>
      </w:r>
      <w:r w:rsidR="00A7217C">
        <w:rPr>
          <w:sz w:val="20"/>
          <w:szCs w:val="20"/>
        </w:rPr>
        <w:t>Auftraggeber</w:t>
      </w:r>
      <w:r w:rsidRPr="00845A31">
        <w:rPr>
          <w:sz w:val="20"/>
          <w:szCs w:val="20"/>
        </w:rPr>
        <w:t xml:space="preserve"> Geräte oder Materialien für die Nutzung durch </w:t>
      </w:r>
      <w:r w:rsidR="0096256F">
        <w:rPr>
          <w:sz w:val="20"/>
          <w:szCs w:val="20"/>
        </w:rPr>
        <w:t>das Prüfzentrum</w:t>
      </w:r>
      <w:r w:rsidRPr="00845A31">
        <w:rPr>
          <w:sz w:val="20"/>
          <w:szCs w:val="20"/>
        </w:rPr>
        <w:t xml:space="preserve"> für die Durchführung der vertragsgegenständlichen klinischen Prüfung bereitstellt bzw. deren Bereitstellung durch einen Dritten veranlasst, sind diese in einer separaten Anlage </w:t>
      </w:r>
      <w:r w:rsidRPr="00CB0F60">
        <w:rPr>
          <w:i/>
          <w:sz w:val="20"/>
          <w:szCs w:val="20"/>
        </w:rPr>
        <w:t>[</w:t>
      </w:r>
      <w:r w:rsidRPr="00B95166">
        <w:rPr>
          <w:i/>
          <w:sz w:val="20"/>
          <w:szCs w:val="20"/>
          <w:highlight w:val="lightGray"/>
        </w:rPr>
        <w:t>z. B. A</w:t>
      </w:r>
      <w:r w:rsidR="00B5633A" w:rsidRPr="00B95166">
        <w:rPr>
          <w:i/>
          <w:sz w:val="20"/>
          <w:szCs w:val="20"/>
          <w:highlight w:val="lightGray"/>
        </w:rPr>
        <w:t>nlage B: Geräte und Materialien</w:t>
      </w:r>
      <w:r w:rsidRPr="00CB0F60">
        <w:rPr>
          <w:i/>
          <w:sz w:val="20"/>
          <w:szCs w:val="20"/>
        </w:rPr>
        <w:t>]</w:t>
      </w:r>
      <w:r w:rsidR="00077283">
        <w:rPr>
          <w:sz w:val="20"/>
          <w:szCs w:val="20"/>
        </w:rPr>
        <w:t xml:space="preserve"> </w:t>
      </w:r>
      <w:r w:rsidRPr="00845A31">
        <w:rPr>
          <w:sz w:val="20"/>
          <w:szCs w:val="20"/>
        </w:rPr>
        <w:t>aufgeführt. Bei diesen Materialien kann es sich u. a. um Computersoftware, Methoden, Beurteilungsskalen und andere Hilfsmittel handeln, die Eigentum des Auftraggebers bzw. eines Dritten sind oder von diese</w:t>
      </w:r>
      <w:r w:rsidR="00077283">
        <w:rPr>
          <w:sz w:val="20"/>
          <w:szCs w:val="20"/>
        </w:rPr>
        <w:t>m</w:t>
      </w:r>
      <w:r w:rsidRPr="00845A31">
        <w:rPr>
          <w:sz w:val="20"/>
          <w:szCs w:val="20"/>
        </w:rPr>
        <w:t xml:space="preserve"> zur Nutzung lizenziert werden (zusammen als „</w:t>
      </w:r>
      <w:r w:rsidR="00075699">
        <w:rPr>
          <w:sz w:val="20"/>
          <w:szCs w:val="20"/>
        </w:rPr>
        <w:t>Geräte</w:t>
      </w:r>
      <w:r w:rsidRPr="00845A31">
        <w:rPr>
          <w:sz w:val="20"/>
          <w:szCs w:val="20"/>
        </w:rPr>
        <w:t xml:space="preserve">” bezeichnet). </w:t>
      </w:r>
    </w:p>
    <w:p w14:paraId="05A996D5" w14:textId="77777777" w:rsidR="00845A31" w:rsidRPr="00845A31" w:rsidRDefault="00845A31" w:rsidP="00C70646">
      <w:pPr>
        <w:tabs>
          <w:tab w:val="left" w:pos="5238"/>
        </w:tabs>
        <w:jc w:val="both"/>
        <w:rPr>
          <w:sz w:val="20"/>
          <w:szCs w:val="20"/>
        </w:rPr>
      </w:pPr>
    </w:p>
    <w:p w14:paraId="560C276B" w14:textId="09AE1C94" w:rsidR="00C1362D" w:rsidRDefault="00845A31" w:rsidP="00C70646">
      <w:pPr>
        <w:tabs>
          <w:tab w:val="left" w:pos="5238"/>
        </w:tabs>
        <w:jc w:val="both"/>
        <w:rPr>
          <w:sz w:val="20"/>
          <w:szCs w:val="20"/>
        </w:rPr>
      </w:pPr>
      <w:r w:rsidRPr="00845A31">
        <w:rPr>
          <w:sz w:val="20"/>
          <w:szCs w:val="20"/>
        </w:rPr>
        <w:t xml:space="preserve">Die </w:t>
      </w:r>
      <w:r w:rsidR="00EE74BF">
        <w:rPr>
          <w:sz w:val="20"/>
          <w:szCs w:val="20"/>
        </w:rPr>
        <w:t>Überlassung</w:t>
      </w:r>
      <w:r w:rsidR="00077283">
        <w:rPr>
          <w:sz w:val="20"/>
          <w:szCs w:val="20"/>
        </w:rPr>
        <w:t xml:space="preserve"> der Geräte </w:t>
      </w:r>
      <w:r w:rsidRPr="00845A31">
        <w:rPr>
          <w:sz w:val="20"/>
          <w:szCs w:val="20"/>
        </w:rPr>
        <w:t xml:space="preserve">ist auf die Dauer der klinischen Prüfung begrenzt und </w:t>
      </w:r>
      <w:r w:rsidR="00077283">
        <w:rPr>
          <w:sz w:val="20"/>
          <w:szCs w:val="20"/>
        </w:rPr>
        <w:t xml:space="preserve">diese sind </w:t>
      </w:r>
      <w:r w:rsidRPr="00845A31">
        <w:rPr>
          <w:sz w:val="20"/>
          <w:szCs w:val="20"/>
        </w:rPr>
        <w:t xml:space="preserve">nach Beendigung der klinischen Prüfung an den </w:t>
      </w:r>
      <w:r w:rsidR="00A7217C">
        <w:rPr>
          <w:sz w:val="20"/>
          <w:szCs w:val="20"/>
        </w:rPr>
        <w:t>Auftraggeber</w:t>
      </w:r>
      <w:r w:rsidRPr="00845A31">
        <w:rPr>
          <w:sz w:val="20"/>
          <w:szCs w:val="20"/>
        </w:rPr>
        <w:t xml:space="preserve"> bzw. </w:t>
      </w:r>
      <w:r>
        <w:rPr>
          <w:sz w:val="20"/>
          <w:szCs w:val="20"/>
        </w:rPr>
        <w:t>an den</w:t>
      </w:r>
      <w:r w:rsidRPr="00845A31">
        <w:rPr>
          <w:sz w:val="20"/>
          <w:szCs w:val="20"/>
        </w:rPr>
        <w:t xml:space="preserve"> Dritten </w:t>
      </w:r>
      <w:r w:rsidRPr="00845A31">
        <w:rPr>
          <w:sz w:val="20"/>
          <w:szCs w:val="20"/>
        </w:rPr>
        <w:lastRenderedPageBreak/>
        <w:t xml:space="preserve">unverzüglich </w:t>
      </w:r>
      <w:proofErr w:type="gramStart"/>
      <w:r w:rsidRPr="00845A31">
        <w:rPr>
          <w:sz w:val="20"/>
          <w:szCs w:val="20"/>
        </w:rPr>
        <w:t>zurück zu geben</w:t>
      </w:r>
      <w:proofErr w:type="gramEnd"/>
      <w:r w:rsidR="00077283">
        <w:rPr>
          <w:sz w:val="20"/>
          <w:szCs w:val="20"/>
        </w:rPr>
        <w:t>;</w:t>
      </w:r>
      <w:r w:rsidR="000F2E47">
        <w:rPr>
          <w:sz w:val="20"/>
          <w:szCs w:val="20"/>
        </w:rPr>
        <w:t xml:space="preserve"> der </w:t>
      </w:r>
      <w:r w:rsidR="00A7217C">
        <w:rPr>
          <w:sz w:val="20"/>
          <w:szCs w:val="20"/>
        </w:rPr>
        <w:t>Auftraggeber</w:t>
      </w:r>
      <w:r w:rsidR="000F2E47">
        <w:rPr>
          <w:sz w:val="20"/>
          <w:szCs w:val="20"/>
        </w:rPr>
        <w:t xml:space="preserve"> bzw. der beauftragte Dritte wird die Rücknahme der </w:t>
      </w:r>
      <w:r w:rsidR="00075699">
        <w:rPr>
          <w:sz w:val="20"/>
          <w:szCs w:val="20"/>
        </w:rPr>
        <w:t>Geräte</w:t>
      </w:r>
      <w:r w:rsidR="00077283">
        <w:rPr>
          <w:sz w:val="20"/>
          <w:szCs w:val="20"/>
        </w:rPr>
        <w:t xml:space="preserve"> </w:t>
      </w:r>
      <w:r w:rsidR="000F2E47">
        <w:rPr>
          <w:sz w:val="20"/>
          <w:szCs w:val="20"/>
        </w:rPr>
        <w:t>sicherstellen</w:t>
      </w:r>
      <w:r w:rsidRPr="00845A31">
        <w:rPr>
          <w:sz w:val="20"/>
          <w:szCs w:val="20"/>
        </w:rPr>
        <w:t xml:space="preserve">. </w:t>
      </w:r>
      <w:r w:rsidR="000F2E47" w:rsidRPr="00F90FCB">
        <w:rPr>
          <w:sz w:val="20"/>
          <w:szCs w:val="20"/>
        </w:rPr>
        <w:t xml:space="preserve">Alternativ können die </w:t>
      </w:r>
      <w:r w:rsidR="00075699" w:rsidRPr="00F90FCB">
        <w:rPr>
          <w:sz w:val="20"/>
          <w:szCs w:val="20"/>
        </w:rPr>
        <w:t>Geräte</w:t>
      </w:r>
      <w:r w:rsidR="000F2E47" w:rsidRPr="00F90FCB">
        <w:rPr>
          <w:sz w:val="20"/>
          <w:szCs w:val="20"/>
        </w:rPr>
        <w:t xml:space="preserve">, soweit die Parteien sich einigen, zu einem marktüblichen Preis </w:t>
      </w:r>
      <w:r w:rsidR="0096256F">
        <w:rPr>
          <w:sz w:val="20"/>
          <w:szCs w:val="20"/>
        </w:rPr>
        <w:t>vom Prüfzentrum</w:t>
      </w:r>
      <w:r w:rsidR="000F2E47" w:rsidRPr="00F90FCB">
        <w:rPr>
          <w:sz w:val="20"/>
          <w:szCs w:val="20"/>
        </w:rPr>
        <w:t xml:space="preserve"> erworben werden</w:t>
      </w:r>
      <w:r w:rsidR="00261262" w:rsidRPr="00F90FCB">
        <w:rPr>
          <w:sz w:val="20"/>
          <w:szCs w:val="20"/>
        </w:rPr>
        <w:t>*</w:t>
      </w:r>
      <w:r w:rsidR="000F2E47" w:rsidRPr="00F90FCB">
        <w:rPr>
          <w:sz w:val="20"/>
          <w:szCs w:val="20"/>
        </w:rPr>
        <w:t xml:space="preserve">. </w:t>
      </w:r>
      <w:r w:rsidRPr="00845A31">
        <w:rPr>
          <w:sz w:val="20"/>
          <w:szCs w:val="20"/>
        </w:rPr>
        <w:t xml:space="preserve">Der </w:t>
      </w:r>
      <w:r w:rsidR="00A7217C">
        <w:rPr>
          <w:sz w:val="20"/>
          <w:szCs w:val="20"/>
        </w:rPr>
        <w:t>Auftraggeber</w:t>
      </w:r>
      <w:r w:rsidRPr="00845A31">
        <w:rPr>
          <w:sz w:val="20"/>
          <w:szCs w:val="20"/>
        </w:rPr>
        <w:t xml:space="preserve"> und </w:t>
      </w:r>
      <w:r w:rsidR="00A7217C">
        <w:rPr>
          <w:sz w:val="20"/>
          <w:szCs w:val="20"/>
        </w:rPr>
        <w:t>das Prüfzentrum</w:t>
      </w:r>
      <w:r w:rsidRPr="00845A31">
        <w:rPr>
          <w:sz w:val="20"/>
          <w:szCs w:val="20"/>
        </w:rPr>
        <w:t xml:space="preserve"> sind sich darüber einig, dass die </w:t>
      </w:r>
      <w:r w:rsidR="00EE74BF">
        <w:rPr>
          <w:sz w:val="20"/>
          <w:szCs w:val="20"/>
        </w:rPr>
        <w:t>Überlassung</w:t>
      </w:r>
      <w:r w:rsidR="00077283">
        <w:rPr>
          <w:sz w:val="20"/>
          <w:szCs w:val="20"/>
        </w:rPr>
        <w:t xml:space="preserve"> </w:t>
      </w:r>
      <w:r w:rsidRPr="00845A31">
        <w:rPr>
          <w:sz w:val="20"/>
          <w:szCs w:val="20"/>
        </w:rPr>
        <w:t xml:space="preserve">keine Vergütung bzw. keinen Vergütungsbestandteil darstellt und ausschließlich zur Durchführung der vertragsgegenständlichen klinischen Prüfung genutzt wird. </w:t>
      </w:r>
      <w:r w:rsidR="0096256F">
        <w:rPr>
          <w:sz w:val="20"/>
          <w:szCs w:val="20"/>
        </w:rPr>
        <w:t>Das Prüfzentrum</w:t>
      </w:r>
      <w:r w:rsidRPr="00845A31">
        <w:rPr>
          <w:sz w:val="20"/>
          <w:szCs w:val="20"/>
        </w:rPr>
        <w:t xml:space="preserve"> sichert zu und gewährleistet, dass die überlassenen </w:t>
      </w:r>
      <w:r w:rsidR="00077283">
        <w:rPr>
          <w:sz w:val="20"/>
          <w:szCs w:val="20"/>
        </w:rPr>
        <w:t>Geräte</w:t>
      </w:r>
      <w:r w:rsidR="00077283" w:rsidRPr="00845A31">
        <w:rPr>
          <w:sz w:val="20"/>
          <w:szCs w:val="20"/>
        </w:rPr>
        <w:t xml:space="preserve"> </w:t>
      </w:r>
      <w:r w:rsidRPr="00845A31">
        <w:rPr>
          <w:sz w:val="20"/>
          <w:szCs w:val="20"/>
        </w:rPr>
        <w:t xml:space="preserve">ausschließlich zur Durchführung der für den Auftraggeber zu erbringenden Leistungen im Rahmen der klinischen Prüfung verwendet werden. </w:t>
      </w:r>
      <w:r w:rsidR="00A7217C">
        <w:rPr>
          <w:sz w:val="20"/>
          <w:szCs w:val="20"/>
        </w:rPr>
        <w:t>Das Prüfzentrum</w:t>
      </w:r>
      <w:r>
        <w:rPr>
          <w:sz w:val="20"/>
          <w:szCs w:val="20"/>
        </w:rPr>
        <w:t xml:space="preserve"> wird die </w:t>
      </w:r>
      <w:r w:rsidR="00075699">
        <w:rPr>
          <w:sz w:val="20"/>
          <w:szCs w:val="20"/>
        </w:rPr>
        <w:t>Geräte</w:t>
      </w:r>
      <w:r w:rsidR="00077283">
        <w:rPr>
          <w:sz w:val="20"/>
          <w:szCs w:val="20"/>
        </w:rPr>
        <w:t xml:space="preserve"> </w:t>
      </w:r>
      <w:r w:rsidRPr="00845A31">
        <w:rPr>
          <w:sz w:val="20"/>
          <w:szCs w:val="20"/>
        </w:rPr>
        <w:t>mit der notwendigen Sorgfalt behandeln und in einer sicheren Umgebung aufbewahren, die so ausgelegt ist, dass diese vor unbefugter Nutzung, Diebstahl oder Be</w:t>
      </w:r>
      <w:r>
        <w:rPr>
          <w:sz w:val="20"/>
          <w:szCs w:val="20"/>
        </w:rPr>
        <w:t xml:space="preserve">schädigung geschützt </w:t>
      </w:r>
      <w:r w:rsidR="00077283">
        <w:rPr>
          <w:sz w:val="20"/>
          <w:szCs w:val="20"/>
        </w:rPr>
        <w:t>sind</w:t>
      </w:r>
      <w:r>
        <w:rPr>
          <w:sz w:val="20"/>
          <w:szCs w:val="20"/>
        </w:rPr>
        <w:t xml:space="preserve">. </w:t>
      </w:r>
    </w:p>
    <w:p w14:paraId="2B511CFF" w14:textId="77777777" w:rsidR="00172BE9" w:rsidRDefault="00172BE9" w:rsidP="00C70646">
      <w:pPr>
        <w:tabs>
          <w:tab w:val="left" w:pos="5238"/>
        </w:tabs>
        <w:jc w:val="both"/>
        <w:rPr>
          <w:sz w:val="20"/>
          <w:szCs w:val="20"/>
        </w:rPr>
      </w:pPr>
    </w:p>
    <w:p w14:paraId="61D23668" w14:textId="65F7799F" w:rsidR="00172BE9" w:rsidRPr="00B95166" w:rsidRDefault="00B050E9" w:rsidP="00C70646">
      <w:pPr>
        <w:ind w:left="709"/>
        <w:jc w:val="both"/>
        <w:rPr>
          <w:rFonts w:cstheme="minorHAnsi"/>
          <w:i/>
          <w:iCs/>
          <w:sz w:val="18"/>
          <w:szCs w:val="18"/>
        </w:rPr>
      </w:pPr>
      <w:r w:rsidRPr="00B95166">
        <w:rPr>
          <w:rFonts w:cstheme="minorHAnsi"/>
          <w:i/>
          <w:iCs/>
          <w:sz w:val="18"/>
          <w:szCs w:val="18"/>
          <w:highlight w:val="lightGray"/>
          <w:u w:val="single"/>
        </w:rPr>
        <w:t>Hinweis</w:t>
      </w:r>
      <w:r w:rsidRPr="00B95166">
        <w:rPr>
          <w:rFonts w:cstheme="minorHAnsi"/>
          <w:i/>
          <w:iCs/>
          <w:sz w:val="18"/>
          <w:szCs w:val="18"/>
          <w:highlight w:val="lightGray"/>
        </w:rPr>
        <w:t xml:space="preserve">: </w:t>
      </w:r>
      <w:r w:rsidR="00172BE9" w:rsidRPr="00B95166">
        <w:rPr>
          <w:rFonts w:cstheme="minorHAnsi"/>
          <w:i/>
          <w:iCs/>
          <w:sz w:val="18"/>
          <w:szCs w:val="18"/>
          <w:highlight w:val="lightGray"/>
        </w:rPr>
        <w:t xml:space="preserve">*Eine Kostenregelung der Nutzungsüberlassung ist – sofern gewünscht - zwischen den Vertragsparteien individuell zu treffen. Ggf. ist die </w:t>
      </w:r>
      <w:r w:rsidR="00EE74BF" w:rsidRPr="00B95166">
        <w:rPr>
          <w:rFonts w:cstheme="minorHAnsi"/>
          <w:i/>
          <w:iCs/>
          <w:sz w:val="18"/>
          <w:szCs w:val="18"/>
          <w:highlight w:val="lightGray"/>
        </w:rPr>
        <w:t>Überlassung</w:t>
      </w:r>
      <w:r w:rsidR="00E73BE1" w:rsidRPr="00B95166">
        <w:rPr>
          <w:rFonts w:cstheme="minorHAnsi"/>
          <w:i/>
          <w:iCs/>
          <w:sz w:val="18"/>
          <w:szCs w:val="18"/>
          <w:highlight w:val="lightGray"/>
        </w:rPr>
        <w:t xml:space="preserve"> </w:t>
      </w:r>
      <w:r w:rsidR="00172BE9" w:rsidRPr="00B95166">
        <w:rPr>
          <w:rFonts w:cstheme="minorHAnsi"/>
          <w:i/>
          <w:iCs/>
          <w:sz w:val="18"/>
          <w:szCs w:val="18"/>
          <w:highlight w:val="lightGray"/>
        </w:rPr>
        <w:t xml:space="preserve">von Geräten </w:t>
      </w:r>
      <w:r w:rsidR="00C05BE4" w:rsidRPr="00B95166">
        <w:rPr>
          <w:rFonts w:cstheme="minorHAnsi"/>
          <w:i/>
          <w:iCs/>
          <w:sz w:val="18"/>
          <w:szCs w:val="18"/>
          <w:highlight w:val="lightGray"/>
        </w:rPr>
        <w:t xml:space="preserve">auch </w:t>
      </w:r>
      <w:r w:rsidR="00172BE9" w:rsidRPr="00B95166">
        <w:rPr>
          <w:rFonts w:cstheme="minorHAnsi"/>
          <w:i/>
          <w:iCs/>
          <w:sz w:val="18"/>
          <w:szCs w:val="18"/>
          <w:highlight w:val="lightGray"/>
        </w:rPr>
        <w:t>in einem gesonderten Vertrag zu regeln.</w:t>
      </w:r>
    </w:p>
    <w:p w14:paraId="587E1077" w14:textId="77777777" w:rsidR="00845A31" w:rsidRDefault="00845A31" w:rsidP="00C70646">
      <w:pPr>
        <w:tabs>
          <w:tab w:val="left" w:pos="5238"/>
        </w:tabs>
        <w:jc w:val="both"/>
        <w:rPr>
          <w:sz w:val="20"/>
          <w:szCs w:val="20"/>
        </w:rPr>
      </w:pPr>
    </w:p>
    <w:p w14:paraId="774A9984" w14:textId="77777777" w:rsidR="001F2B1B" w:rsidRDefault="001F2B1B" w:rsidP="00C70646">
      <w:pPr>
        <w:tabs>
          <w:tab w:val="left" w:pos="5238"/>
        </w:tabs>
        <w:jc w:val="both"/>
        <w:rPr>
          <w:sz w:val="20"/>
          <w:szCs w:val="20"/>
        </w:rPr>
      </w:pPr>
    </w:p>
    <w:p w14:paraId="03F05990" w14:textId="04349551" w:rsidR="001F2B1B" w:rsidRPr="00075699" w:rsidRDefault="00BD5448" w:rsidP="00C70646">
      <w:pPr>
        <w:jc w:val="both"/>
        <w:rPr>
          <w:b/>
          <w:sz w:val="20"/>
          <w:szCs w:val="20"/>
        </w:rPr>
      </w:pPr>
      <w:r>
        <w:rPr>
          <w:b/>
          <w:sz w:val="20"/>
          <w:szCs w:val="20"/>
        </w:rPr>
        <w:t>10</w:t>
      </w:r>
      <w:r w:rsidR="001F2B1B" w:rsidRPr="00075699">
        <w:rPr>
          <w:b/>
          <w:sz w:val="20"/>
          <w:szCs w:val="20"/>
        </w:rPr>
        <w:t xml:space="preserve">. </w:t>
      </w:r>
      <w:r w:rsidR="00C05BE4">
        <w:rPr>
          <w:b/>
          <w:sz w:val="20"/>
          <w:szCs w:val="20"/>
        </w:rPr>
        <w:tab/>
      </w:r>
      <w:r w:rsidR="001F2B1B" w:rsidRPr="00075699">
        <w:rPr>
          <w:b/>
          <w:sz w:val="20"/>
          <w:szCs w:val="20"/>
        </w:rPr>
        <w:t>Beendigung/Kündigung</w:t>
      </w:r>
    </w:p>
    <w:p w14:paraId="36A89F7D" w14:textId="77777777" w:rsidR="001F2B1B" w:rsidRPr="001F2B1B" w:rsidRDefault="001F2B1B" w:rsidP="00C70646">
      <w:pPr>
        <w:tabs>
          <w:tab w:val="left" w:pos="5238"/>
        </w:tabs>
        <w:jc w:val="both"/>
        <w:rPr>
          <w:sz w:val="20"/>
          <w:szCs w:val="20"/>
        </w:rPr>
      </w:pPr>
    </w:p>
    <w:p w14:paraId="7DFB3E65" w14:textId="24B85DEB" w:rsidR="001F2B1B" w:rsidRPr="00235FAD" w:rsidRDefault="00BD5448" w:rsidP="00C70646">
      <w:pPr>
        <w:tabs>
          <w:tab w:val="left" w:pos="0"/>
        </w:tabs>
        <w:jc w:val="both"/>
        <w:rPr>
          <w:sz w:val="20"/>
          <w:szCs w:val="20"/>
          <w:u w:val="single"/>
        </w:rPr>
      </w:pPr>
      <w:r>
        <w:rPr>
          <w:sz w:val="20"/>
          <w:szCs w:val="20"/>
          <w:u w:val="single"/>
        </w:rPr>
        <w:t>10</w:t>
      </w:r>
      <w:r w:rsidR="001F2B1B" w:rsidRPr="00235FAD">
        <w:rPr>
          <w:sz w:val="20"/>
          <w:szCs w:val="20"/>
          <w:u w:val="single"/>
        </w:rPr>
        <w:t>.1</w:t>
      </w:r>
      <w:r w:rsidR="00C05BE4" w:rsidRPr="00235FAD">
        <w:rPr>
          <w:sz w:val="20"/>
          <w:szCs w:val="20"/>
          <w:u w:val="single"/>
        </w:rPr>
        <w:tab/>
      </w:r>
      <w:r w:rsidR="001F2B1B" w:rsidRPr="00235FAD">
        <w:rPr>
          <w:sz w:val="20"/>
          <w:szCs w:val="20"/>
          <w:u w:val="single"/>
        </w:rPr>
        <w:t xml:space="preserve">Gründe für die Beendigung/Kündigung. </w:t>
      </w:r>
    </w:p>
    <w:p w14:paraId="2A95AD8A" w14:textId="77777777" w:rsidR="001F2B1B" w:rsidRPr="001F2B1B" w:rsidRDefault="001F2B1B" w:rsidP="00C70646">
      <w:pPr>
        <w:tabs>
          <w:tab w:val="left" w:pos="5238"/>
        </w:tabs>
        <w:jc w:val="both"/>
        <w:rPr>
          <w:sz w:val="20"/>
          <w:szCs w:val="20"/>
        </w:rPr>
      </w:pPr>
    </w:p>
    <w:p w14:paraId="4B2F62EB" w14:textId="37B8DCB8" w:rsidR="001F2B1B" w:rsidRPr="001F2B1B" w:rsidRDefault="001F2B1B" w:rsidP="00C70646">
      <w:pPr>
        <w:tabs>
          <w:tab w:val="left" w:pos="5238"/>
        </w:tabs>
        <w:jc w:val="both"/>
        <w:rPr>
          <w:sz w:val="20"/>
          <w:szCs w:val="20"/>
        </w:rPr>
      </w:pPr>
      <w:r w:rsidRPr="001F2B1B">
        <w:rPr>
          <w:sz w:val="20"/>
          <w:szCs w:val="20"/>
        </w:rPr>
        <w:t xml:space="preserve">Diese Vereinbarung endet, sobald eines der folgenden Ereignisse </w:t>
      </w:r>
      <w:r w:rsidR="008D1440">
        <w:rPr>
          <w:sz w:val="20"/>
          <w:szCs w:val="20"/>
        </w:rPr>
        <w:t>eintritt</w:t>
      </w:r>
      <w:r w:rsidRPr="001F2B1B">
        <w:rPr>
          <w:sz w:val="20"/>
          <w:szCs w:val="20"/>
        </w:rPr>
        <w:t>.</w:t>
      </w:r>
    </w:p>
    <w:p w14:paraId="73F2BEC3" w14:textId="77777777" w:rsidR="001F2B1B" w:rsidRPr="001F2B1B" w:rsidRDefault="001F2B1B" w:rsidP="00C70646">
      <w:pPr>
        <w:tabs>
          <w:tab w:val="left" w:pos="5238"/>
        </w:tabs>
        <w:jc w:val="both"/>
        <w:rPr>
          <w:sz w:val="20"/>
          <w:szCs w:val="20"/>
        </w:rPr>
      </w:pPr>
    </w:p>
    <w:p w14:paraId="428D4689" w14:textId="77777777" w:rsidR="001F2B1B" w:rsidRPr="001F2B1B" w:rsidRDefault="001F2B1B" w:rsidP="00C70646">
      <w:pPr>
        <w:tabs>
          <w:tab w:val="left" w:pos="5238"/>
        </w:tabs>
        <w:ind w:left="426"/>
        <w:jc w:val="both"/>
        <w:rPr>
          <w:sz w:val="20"/>
          <w:szCs w:val="20"/>
        </w:rPr>
      </w:pPr>
      <w:r>
        <w:rPr>
          <w:sz w:val="20"/>
          <w:szCs w:val="20"/>
        </w:rPr>
        <w:t xml:space="preserve">a. </w:t>
      </w:r>
      <w:r w:rsidRPr="008D1440">
        <w:rPr>
          <w:sz w:val="20"/>
          <w:szCs w:val="20"/>
          <w:u w:val="single"/>
        </w:rPr>
        <w:t>Ablehnende Bewertung durch die Ethik-Kommission</w:t>
      </w:r>
      <w:r w:rsidRPr="001F2B1B">
        <w:rPr>
          <w:sz w:val="20"/>
          <w:szCs w:val="20"/>
        </w:rPr>
        <w:t>. Kann die klinische Prüfung aufgrund der ablehnenden Bewertung durch die Ethik-Kommission nicht initiiert werden, endet diese Vereinbarung.</w:t>
      </w:r>
    </w:p>
    <w:p w14:paraId="40D7CDD0" w14:textId="77777777" w:rsidR="001F2B1B" w:rsidRPr="001F2B1B" w:rsidRDefault="001F2B1B" w:rsidP="00C70646">
      <w:pPr>
        <w:tabs>
          <w:tab w:val="left" w:pos="5238"/>
        </w:tabs>
        <w:ind w:left="426"/>
        <w:jc w:val="both"/>
        <w:rPr>
          <w:sz w:val="20"/>
          <w:szCs w:val="20"/>
        </w:rPr>
      </w:pPr>
    </w:p>
    <w:p w14:paraId="31FF6873" w14:textId="77777777" w:rsidR="001F2B1B" w:rsidRPr="001F2B1B" w:rsidRDefault="001F2B1B" w:rsidP="00C70646">
      <w:pPr>
        <w:tabs>
          <w:tab w:val="left" w:pos="5238"/>
        </w:tabs>
        <w:ind w:left="426"/>
        <w:jc w:val="both"/>
        <w:rPr>
          <w:sz w:val="20"/>
          <w:szCs w:val="20"/>
        </w:rPr>
      </w:pPr>
      <w:r>
        <w:rPr>
          <w:sz w:val="20"/>
          <w:szCs w:val="20"/>
        </w:rPr>
        <w:t xml:space="preserve">b. </w:t>
      </w:r>
      <w:r w:rsidRPr="008D1440">
        <w:rPr>
          <w:sz w:val="20"/>
          <w:szCs w:val="20"/>
          <w:u w:val="single"/>
        </w:rPr>
        <w:t>Versagung durch die zuständige Bundesoberbehörde</w:t>
      </w:r>
      <w:r w:rsidRPr="001F2B1B">
        <w:rPr>
          <w:sz w:val="20"/>
          <w:szCs w:val="20"/>
        </w:rPr>
        <w:t>. Kann die klinische Prüfung aufgrund der Versagung durch die zuständige Bundesoberbehörde nicht initiiert werden, endet diese Vereinbarung.</w:t>
      </w:r>
    </w:p>
    <w:p w14:paraId="2E56CCFC" w14:textId="77777777" w:rsidR="001F2B1B" w:rsidRPr="001F2B1B" w:rsidRDefault="001F2B1B" w:rsidP="00C70646">
      <w:pPr>
        <w:tabs>
          <w:tab w:val="left" w:pos="5238"/>
        </w:tabs>
        <w:ind w:left="426"/>
        <w:jc w:val="both"/>
        <w:rPr>
          <w:sz w:val="20"/>
          <w:szCs w:val="20"/>
        </w:rPr>
      </w:pPr>
    </w:p>
    <w:p w14:paraId="5302A4C8" w14:textId="75F38754" w:rsidR="001F2B1B" w:rsidRPr="001F2B1B" w:rsidRDefault="001F2B1B" w:rsidP="00C70646">
      <w:pPr>
        <w:tabs>
          <w:tab w:val="left" w:pos="5238"/>
        </w:tabs>
        <w:ind w:left="426"/>
        <w:jc w:val="both"/>
        <w:rPr>
          <w:sz w:val="20"/>
          <w:szCs w:val="20"/>
        </w:rPr>
      </w:pPr>
      <w:r w:rsidRPr="001F2B1B">
        <w:rPr>
          <w:sz w:val="20"/>
          <w:szCs w:val="20"/>
        </w:rPr>
        <w:t>c.</w:t>
      </w:r>
      <w:r w:rsidR="00077283">
        <w:rPr>
          <w:sz w:val="20"/>
          <w:szCs w:val="20"/>
        </w:rPr>
        <w:t xml:space="preserve"> </w:t>
      </w:r>
      <w:r w:rsidRPr="008D1440">
        <w:rPr>
          <w:sz w:val="20"/>
          <w:szCs w:val="20"/>
          <w:u w:val="single"/>
        </w:rPr>
        <w:t>Studienabschluss</w:t>
      </w:r>
      <w:r w:rsidRPr="001F2B1B">
        <w:rPr>
          <w:sz w:val="20"/>
          <w:szCs w:val="20"/>
        </w:rPr>
        <w:t>. Diese Vereinbarung endet, sobald die klinische Prüfung abgeschlossen ist, d. h.</w:t>
      </w:r>
      <w:r w:rsidR="00B154A3">
        <w:rPr>
          <w:sz w:val="20"/>
          <w:szCs w:val="20"/>
        </w:rPr>
        <w:t>,</w:t>
      </w:r>
      <w:r w:rsidRPr="001F2B1B">
        <w:rPr>
          <w:sz w:val="20"/>
          <w:szCs w:val="20"/>
        </w:rPr>
        <w:t xml:space="preserve"> sobald alle vom Prüfplan vorgeschriebenen Aktivitäten für alle aufgenommenen </w:t>
      </w:r>
      <w:r w:rsidR="00190F4D">
        <w:rPr>
          <w:sz w:val="20"/>
          <w:szCs w:val="20"/>
        </w:rPr>
        <w:t>Prüfungs</w:t>
      </w:r>
      <w:r w:rsidR="00190F4D" w:rsidRPr="00E73BE1">
        <w:rPr>
          <w:sz w:val="20"/>
          <w:szCs w:val="20"/>
        </w:rPr>
        <w:t>teilnehmer</w:t>
      </w:r>
      <w:r w:rsidR="00190F4D" w:rsidRPr="00E73BE1" w:rsidDel="00E73BE1">
        <w:rPr>
          <w:sz w:val="20"/>
          <w:szCs w:val="20"/>
        </w:rPr>
        <w:t xml:space="preserve"> </w:t>
      </w:r>
      <w:r w:rsidRPr="001F2B1B">
        <w:rPr>
          <w:sz w:val="20"/>
          <w:szCs w:val="20"/>
        </w:rPr>
        <w:t xml:space="preserve">– einschließlich </w:t>
      </w:r>
      <w:r w:rsidR="00075699">
        <w:rPr>
          <w:sz w:val="20"/>
          <w:szCs w:val="20"/>
        </w:rPr>
        <w:t xml:space="preserve">z. B. </w:t>
      </w:r>
      <w:r w:rsidRPr="001F2B1B">
        <w:rPr>
          <w:sz w:val="20"/>
          <w:szCs w:val="20"/>
        </w:rPr>
        <w:t xml:space="preserve">Abschluss der im </w:t>
      </w:r>
      <w:r w:rsidR="00190F4D">
        <w:rPr>
          <w:sz w:val="20"/>
          <w:szCs w:val="20"/>
        </w:rPr>
        <w:t>Prüfplan</w:t>
      </w:r>
      <w:r w:rsidR="00190F4D" w:rsidRPr="001F2B1B">
        <w:rPr>
          <w:sz w:val="20"/>
          <w:szCs w:val="20"/>
        </w:rPr>
        <w:t xml:space="preserve"> </w:t>
      </w:r>
      <w:r w:rsidRPr="001F2B1B">
        <w:rPr>
          <w:sz w:val="20"/>
          <w:szCs w:val="20"/>
        </w:rPr>
        <w:t xml:space="preserve">aufgeführten Untersuchungen, Übergabe sämtlicher vollständig ausgefüllter Berichtsbögen (CRF) und Schließung </w:t>
      </w:r>
      <w:r w:rsidR="008D1440" w:rsidRPr="001F2B1B">
        <w:rPr>
          <w:sz w:val="20"/>
          <w:szCs w:val="20"/>
        </w:rPr>
        <w:t>de</w:t>
      </w:r>
      <w:r w:rsidR="008D1440">
        <w:rPr>
          <w:sz w:val="20"/>
          <w:szCs w:val="20"/>
        </w:rPr>
        <w:t>s</w:t>
      </w:r>
      <w:r w:rsidR="008D1440" w:rsidRPr="001F2B1B">
        <w:rPr>
          <w:sz w:val="20"/>
          <w:szCs w:val="20"/>
        </w:rPr>
        <w:t xml:space="preserve"> Prüf</w:t>
      </w:r>
      <w:r w:rsidR="008D1440">
        <w:rPr>
          <w:sz w:val="20"/>
          <w:szCs w:val="20"/>
        </w:rPr>
        <w:t>zentrums</w:t>
      </w:r>
      <w:r w:rsidRPr="001F2B1B">
        <w:rPr>
          <w:sz w:val="20"/>
          <w:szCs w:val="20"/>
        </w:rPr>
        <w:t>, inkl. abschließende</w:t>
      </w:r>
      <w:r w:rsidR="00B154A3">
        <w:rPr>
          <w:sz w:val="20"/>
          <w:szCs w:val="20"/>
        </w:rPr>
        <w:t>m</w:t>
      </w:r>
      <w:r w:rsidRPr="001F2B1B">
        <w:rPr>
          <w:sz w:val="20"/>
          <w:szCs w:val="20"/>
        </w:rPr>
        <w:t xml:space="preserve"> Data </w:t>
      </w:r>
      <w:proofErr w:type="spellStart"/>
      <w:r w:rsidRPr="001F2B1B">
        <w:rPr>
          <w:sz w:val="20"/>
          <w:szCs w:val="20"/>
        </w:rPr>
        <w:t>Cleaning</w:t>
      </w:r>
      <w:proofErr w:type="spellEnd"/>
      <w:r w:rsidRPr="001F2B1B">
        <w:rPr>
          <w:sz w:val="20"/>
          <w:szCs w:val="20"/>
        </w:rPr>
        <w:t xml:space="preserve"> und Abschluss der </w:t>
      </w:r>
      <w:r w:rsidR="008D1440">
        <w:rPr>
          <w:sz w:val="20"/>
          <w:szCs w:val="20"/>
        </w:rPr>
        <w:t>Prüfungs-</w:t>
      </w:r>
      <w:r w:rsidR="008D1440" w:rsidRPr="001F2B1B">
        <w:rPr>
          <w:sz w:val="20"/>
          <w:szCs w:val="20"/>
        </w:rPr>
        <w:t xml:space="preserve"> </w:t>
      </w:r>
      <w:r w:rsidRPr="001F2B1B">
        <w:rPr>
          <w:sz w:val="20"/>
          <w:szCs w:val="20"/>
        </w:rPr>
        <w:t>Datenbank und Übergabe des abschließenden Prüfberichts - erledigt sind.</w:t>
      </w:r>
    </w:p>
    <w:p w14:paraId="27786034" w14:textId="77777777" w:rsidR="001F2B1B" w:rsidRPr="001F2B1B" w:rsidRDefault="001F2B1B" w:rsidP="00C70646">
      <w:pPr>
        <w:tabs>
          <w:tab w:val="left" w:pos="5238"/>
        </w:tabs>
        <w:ind w:left="426"/>
        <w:jc w:val="both"/>
        <w:rPr>
          <w:sz w:val="20"/>
          <w:szCs w:val="20"/>
        </w:rPr>
      </w:pPr>
    </w:p>
    <w:p w14:paraId="500F72AC" w14:textId="77777777" w:rsidR="001F2B1B" w:rsidRPr="001F2B1B" w:rsidRDefault="001F2B1B" w:rsidP="00C70646">
      <w:pPr>
        <w:tabs>
          <w:tab w:val="left" w:pos="5238"/>
        </w:tabs>
        <w:ind w:left="426"/>
        <w:jc w:val="both"/>
        <w:rPr>
          <w:sz w:val="20"/>
          <w:szCs w:val="20"/>
        </w:rPr>
      </w:pPr>
      <w:r>
        <w:rPr>
          <w:sz w:val="20"/>
          <w:szCs w:val="20"/>
        </w:rPr>
        <w:t xml:space="preserve">d. </w:t>
      </w:r>
      <w:r w:rsidRPr="008D1440">
        <w:rPr>
          <w:sz w:val="20"/>
          <w:szCs w:val="20"/>
          <w:u w:val="single"/>
        </w:rPr>
        <w:t>Vorzeitige Kündigung der klinischen Prüfung</w:t>
      </w:r>
      <w:r w:rsidRPr="001F2B1B">
        <w:rPr>
          <w:sz w:val="20"/>
          <w:szCs w:val="20"/>
        </w:rPr>
        <w:t>. Diese Vereinbarung endet, wenn die klinische Prüfung wie nachstehend beschrieben gekündigt wird.</w:t>
      </w:r>
    </w:p>
    <w:p w14:paraId="7BAF0AC5" w14:textId="77777777" w:rsidR="001F2B1B" w:rsidRPr="001F2B1B" w:rsidRDefault="001F2B1B" w:rsidP="00C70646">
      <w:pPr>
        <w:tabs>
          <w:tab w:val="left" w:pos="5238"/>
        </w:tabs>
        <w:jc w:val="both"/>
        <w:rPr>
          <w:sz w:val="20"/>
          <w:szCs w:val="20"/>
        </w:rPr>
      </w:pPr>
    </w:p>
    <w:p w14:paraId="053D230D" w14:textId="5654F42B" w:rsidR="001F2B1B" w:rsidRPr="001F2B1B" w:rsidRDefault="001F2B1B" w:rsidP="00C70646">
      <w:pPr>
        <w:tabs>
          <w:tab w:val="left" w:pos="5238"/>
        </w:tabs>
        <w:ind w:left="993"/>
        <w:jc w:val="both"/>
        <w:rPr>
          <w:sz w:val="20"/>
          <w:szCs w:val="20"/>
        </w:rPr>
      </w:pPr>
      <w:r>
        <w:rPr>
          <w:sz w:val="20"/>
          <w:szCs w:val="20"/>
        </w:rPr>
        <w:t xml:space="preserve">(1) </w:t>
      </w:r>
      <w:r w:rsidRPr="008D1440">
        <w:rPr>
          <w:sz w:val="20"/>
          <w:szCs w:val="20"/>
          <w:u w:val="single"/>
        </w:rPr>
        <w:t>Fristgerechte Kündigung der klinischen Prüfung</w:t>
      </w:r>
      <w:r w:rsidRPr="001F2B1B">
        <w:rPr>
          <w:sz w:val="20"/>
          <w:szCs w:val="20"/>
        </w:rPr>
        <w:t xml:space="preserve">. Der </w:t>
      </w:r>
      <w:r w:rsidR="00A7217C">
        <w:rPr>
          <w:sz w:val="20"/>
          <w:szCs w:val="20"/>
        </w:rPr>
        <w:t>Auftraggeber</w:t>
      </w:r>
      <w:r w:rsidRPr="001F2B1B">
        <w:rPr>
          <w:sz w:val="20"/>
          <w:szCs w:val="20"/>
        </w:rPr>
        <w:t xml:space="preserve"> kann die klinische Prüfung </w:t>
      </w:r>
      <w:r w:rsidR="0051079A">
        <w:rPr>
          <w:sz w:val="20"/>
          <w:szCs w:val="20"/>
        </w:rPr>
        <w:t xml:space="preserve">ordentlich </w:t>
      </w:r>
      <w:r w:rsidRPr="001F2B1B">
        <w:rPr>
          <w:sz w:val="20"/>
          <w:szCs w:val="20"/>
        </w:rPr>
        <w:t>unter Einhaltung einer Kündigungsfrist von 14 Tagen schriftlich kündigen.</w:t>
      </w:r>
      <w:bookmarkStart w:id="5" w:name="_Hlk482016000"/>
    </w:p>
    <w:bookmarkEnd w:id="5"/>
    <w:p w14:paraId="15766A64" w14:textId="77777777" w:rsidR="001F2B1B" w:rsidRPr="001F2B1B" w:rsidRDefault="001F2B1B" w:rsidP="00C70646">
      <w:pPr>
        <w:tabs>
          <w:tab w:val="left" w:pos="5238"/>
        </w:tabs>
        <w:ind w:left="993"/>
        <w:jc w:val="both"/>
        <w:rPr>
          <w:sz w:val="20"/>
          <w:szCs w:val="20"/>
        </w:rPr>
      </w:pPr>
    </w:p>
    <w:p w14:paraId="7ADC286F" w14:textId="0670A642" w:rsidR="001F2B1B" w:rsidRPr="001F2B1B" w:rsidRDefault="001F2B1B" w:rsidP="00C70646">
      <w:pPr>
        <w:tabs>
          <w:tab w:val="left" w:pos="5238"/>
        </w:tabs>
        <w:ind w:left="993"/>
        <w:jc w:val="both"/>
        <w:rPr>
          <w:sz w:val="20"/>
          <w:szCs w:val="20"/>
        </w:rPr>
      </w:pPr>
      <w:r>
        <w:rPr>
          <w:sz w:val="20"/>
          <w:szCs w:val="20"/>
        </w:rPr>
        <w:t xml:space="preserve">(2) </w:t>
      </w:r>
      <w:r w:rsidRPr="008D1440">
        <w:rPr>
          <w:sz w:val="20"/>
          <w:szCs w:val="20"/>
          <w:u w:val="single"/>
        </w:rPr>
        <w:t xml:space="preserve">Fristlose Kündigung der klinischen Prüfung durch den </w:t>
      </w:r>
      <w:r w:rsidR="00A7217C">
        <w:rPr>
          <w:sz w:val="20"/>
          <w:szCs w:val="20"/>
          <w:u w:val="single"/>
        </w:rPr>
        <w:t>Auftraggeber</w:t>
      </w:r>
      <w:r w:rsidRPr="001F2B1B">
        <w:rPr>
          <w:sz w:val="20"/>
          <w:szCs w:val="20"/>
        </w:rPr>
        <w:t xml:space="preserve">. Der </w:t>
      </w:r>
      <w:r w:rsidR="00A7217C">
        <w:rPr>
          <w:sz w:val="20"/>
          <w:szCs w:val="20"/>
        </w:rPr>
        <w:t>Auftraggeber</w:t>
      </w:r>
      <w:r w:rsidRPr="001F2B1B">
        <w:rPr>
          <w:sz w:val="20"/>
          <w:szCs w:val="20"/>
        </w:rPr>
        <w:t xml:space="preserve"> kann die klinische Prüfung aus wichtigem Grund mit sofortiger Wirkung schriftlich gegenüber dem </w:t>
      </w:r>
      <w:r w:rsidR="00601E3B">
        <w:rPr>
          <w:sz w:val="20"/>
          <w:szCs w:val="20"/>
        </w:rPr>
        <w:t>Prüfzentrum</w:t>
      </w:r>
      <w:r w:rsidR="00601E3B" w:rsidRPr="001F2B1B">
        <w:rPr>
          <w:sz w:val="20"/>
          <w:szCs w:val="20"/>
        </w:rPr>
        <w:t xml:space="preserve"> </w:t>
      </w:r>
      <w:r w:rsidRPr="001F2B1B">
        <w:rPr>
          <w:sz w:val="20"/>
          <w:szCs w:val="20"/>
        </w:rPr>
        <w:t xml:space="preserve">kündigen. Ein wichtiger Grund liegt u. a. in folgenden Fällen vor: Nichtumsetzung der Leistungsziele der klinischen Prüfung aufgrund unzureichender Aufnahme von </w:t>
      </w:r>
      <w:r w:rsidR="008D1440">
        <w:rPr>
          <w:sz w:val="20"/>
          <w:szCs w:val="20"/>
        </w:rPr>
        <w:t>Prüfungs</w:t>
      </w:r>
      <w:r w:rsidR="008D1440" w:rsidRPr="00E73BE1">
        <w:rPr>
          <w:sz w:val="20"/>
          <w:szCs w:val="20"/>
        </w:rPr>
        <w:t>teilnehmer</w:t>
      </w:r>
      <w:r w:rsidR="008D1440">
        <w:rPr>
          <w:sz w:val="20"/>
          <w:szCs w:val="20"/>
        </w:rPr>
        <w:t>n</w:t>
      </w:r>
      <w:r w:rsidRPr="001F2B1B">
        <w:rPr>
          <w:sz w:val="20"/>
          <w:szCs w:val="20"/>
        </w:rPr>
        <w:t xml:space="preserve">; unbefugte Abweichungen vom Prüfplan oder von den Meldepflichten; Umstände, die nach Auffassung des Auftraggebers die Gesundheit oder das Wohl von </w:t>
      </w:r>
      <w:r w:rsidR="008D1440">
        <w:rPr>
          <w:sz w:val="20"/>
          <w:szCs w:val="20"/>
        </w:rPr>
        <w:t>Prüfungs</w:t>
      </w:r>
      <w:r w:rsidR="008D1440" w:rsidRPr="00E73BE1">
        <w:rPr>
          <w:sz w:val="20"/>
          <w:szCs w:val="20"/>
        </w:rPr>
        <w:t>teilnehmer</w:t>
      </w:r>
      <w:r w:rsidR="008D1440">
        <w:rPr>
          <w:sz w:val="20"/>
          <w:szCs w:val="20"/>
        </w:rPr>
        <w:t>n</w:t>
      </w:r>
      <w:r w:rsidR="008D1440" w:rsidRPr="00E73BE1" w:rsidDel="00E73BE1">
        <w:rPr>
          <w:sz w:val="20"/>
          <w:szCs w:val="20"/>
        </w:rPr>
        <w:t xml:space="preserve"> </w:t>
      </w:r>
      <w:r w:rsidRPr="001F2B1B">
        <w:rPr>
          <w:sz w:val="20"/>
          <w:szCs w:val="20"/>
        </w:rPr>
        <w:t xml:space="preserve">gefährden; Maßnahmen von Aufsichtsbehörden in Verbindung mit der klinischen Prüfung oder der </w:t>
      </w:r>
      <w:r w:rsidR="008D1440" w:rsidRPr="00446621">
        <w:rPr>
          <w:sz w:val="20"/>
          <w:szCs w:val="20"/>
        </w:rPr>
        <w:t>Prüfpräparate</w:t>
      </w:r>
      <w:r w:rsidRPr="001F2B1B">
        <w:rPr>
          <w:sz w:val="20"/>
          <w:szCs w:val="20"/>
        </w:rPr>
        <w:t xml:space="preserve">; soweit die klinische Prüfung aus medizinischen/ethischen Gründen beendet werden muss; ein Verstoß des </w:t>
      </w:r>
      <w:r w:rsidR="00601E3B">
        <w:rPr>
          <w:sz w:val="20"/>
          <w:szCs w:val="20"/>
        </w:rPr>
        <w:t>Prüfzentrums</w:t>
      </w:r>
      <w:r w:rsidR="00601E3B" w:rsidRPr="001F2B1B">
        <w:rPr>
          <w:sz w:val="20"/>
          <w:szCs w:val="20"/>
        </w:rPr>
        <w:t xml:space="preserve"> </w:t>
      </w:r>
      <w:r w:rsidRPr="001F2B1B">
        <w:rPr>
          <w:sz w:val="20"/>
          <w:szCs w:val="20"/>
        </w:rPr>
        <w:t>gegen anwendbare Gesetze, ICH G</w:t>
      </w:r>
      <w:r w:rsidR="0008564F">
        <w:rPr>
          <w:sz w:val="20"/>
          <w:szCs w:val="20"/>
        </w:rPr>
        <w:t xml:space="preserve"> </w:t>
      </w:r>
      <w:r w:rsidRPr="001F2B1B">
        <w:rPr>
          <w:sz w:val="20"/>
          <w:szCs w:val="20"/>
        </w:rPr>
        <w:t xml:space="preserve">CP, ein Verstoß gegen die </w:t>
      </w:r>
      <w:r w:rsidRPr="001F2B1B">
        <w:rPr>
          <w:sz w:val="20"/>
          <w:szCs w:val="20"/>
        </w:rPr>
        <w:lastRenderedPageBreak/>
        <w:t xml:space="preserve">Vertraulichkeitsverpflichtung, eine unzureichende Qualität der Dokumentation oder </w:t>
      </w:r>
      <w:r w:rsidR="00B154A3">
        <w:rPr>
          <w:sz w:val="20"/>
          <w:szCs w:val="20"/>
        </w:rPr>
        <w:t xml:space="preserve">ein Verstoß gegen </w:t>
      </w:r>
      <w:r w:rsidRPr="001F2B1B">
        <w:rPr>
          <w:sz w:val="20"/>
          <w:szCs w:val="20"/>
        </w:rPr>
        <w:t xml:space="preserve">die Bestimmungen </w:t>
      </w:r>
      <w:r w:rsidR="00B154A3">
        <w:rPr>
          <w:sz w:val="20"/>
          <w:szCs w:val="20"/>
        </w:rPr>
        <w:t>im</w:t>
      </w:r>
      <w:r w:rsidR="00B154A3" w:rsidRPr="001F2B1B">
        <w:rPr>
          <w:sz w:val="20"/>
          <w:szCs w:val="20"/>
        </w:rPr>
        <w:t xml:space="preserve"> </w:t>
      </w:r>
      <w:r w:rsidRPr="001F2B1B">
        <w:rPr>
          <w:sz w:val="20"/>
          <w:szCs w:val="20"/>
        </w:rPr>
        <w:t xml:space="preserve">Abschnitt zur Antikorruption </w:t>
      </w:r>
      <w:r w:rsidR="008D1440" w:rsidRPr="008D1440">
        <w:rPr>
          <w:i/>
          <w:sz w:val="20"/>
          <w:szCs w:val="20"/>
        </w:rPr>
        <w:t>[</w:t>
      </w:r>
      <w:r w:rsidRPr="008D1440">
        <w:rPr>
          <w:i/>
          <w:sz w:val="20"/>
          <w:szCs w:val="20"/>
        </w:rPr>
        <w:t>z. B. Verweis auf entsprechenden Abschnitt im Vertrag</w:t>
      </w:r>
      <w:r w:rsidR="008D1440" w:rsidRPr="008D1440">
        <w:rPr>
          <w:i/>
          <w:sz w:val="20"/>
          <w:szCs w:val="20"/>
        </w:rPr>
        <w:t>]</w:t>
      </w:r>
      <w:r w:rsidRPr="001F2B1B">
        <w:rPr>
          <w:sz w:val="20"/>
          <w:szCs w:val="20"/>
        </w:rPr>
        <w:t xml:space="preserve"> dieser Vereinbarung vorliegt oder weiterer Abschnitte dieser Vereinbarung, die zu einer fristlosen Kündigung des </w:t>
      </w:r>
      <w:r w:rsidR="00601E3B" w:rsidRPr="001F2B1B">
        <w:rPr>
          <w:sz w:val="20"/>
          <w:szCs w:val="20"/>
        </w:rPr>
        <w:t>Auftrag</w:t>
      </w:r>
      <w:r w:rsidR="00601E3B">
        <w:rPr>
          <w:sz w:val="20"/>
          <w:szCs w:val="20"/>
        </w:rPr>
        <w:t>gebers</w:t>
      </w:r>
      <w:r w:rsidR="00601E3B" w:rsidRPr="001F2B1B">
        <w:rPr>
          <w:sz w:val="20"/>
          <w:szCs w:val="20"/>
        </w:rPr>
        <w:t xml:space="preserve"> </w:t>
      </w:r>
      <w:r w:rsidRPr="001F2B1B">
        <w:rPr>
          <w:sz w:val="20"/>
          <w:szCs w:val="20"/>
        </w:rPr>
        <w:t>berechtigen.</w:t>
      </w:r>
    </w:p>
    <w:p w14:paraId="6B082DAC" w14:textId="77777777" w:rsidR="001F2B1B" w:rsidRPr="001F2B1B" w:rsidRDefault="001F2B1B" w:rsidP="00C70646">
      <w:pPr>
        <w:tabs>
          <w:tab w:val="left" w:pos="5238"/>
        </w:tabs>
        <w:ind w:left="993"/>
        <w:jc w:val="both"/>
        <w:rPr>
          <w:sz w:val="20"/>
          <w:szCs w:val="20"/>
        </w:rPr>
      </w:pPr>
    </w:p>
    <w:p w14:paraId="33CD095C" w14:textId="53A77A26" w:rsidR="001F2B1B" w:rsidRPr="001B6494" w:rsidRDefault="001F2B1B" w:rsidP="00B84739">
      <w:pPr>
        <w:tabs>
          <w:tab w:val="left" w:pos="5238"/>
        </w:tabs>
        <w:ind w:left="993"/>
        <w:jc w:val="both"/>
        <w:rPr>
          <w:sz w:val="20"/>
          <w:szCs w:val="20"/>
        </w:rPr>
      </w:pPr>
      <w:r>
        <w:rPr>
          <w:sz w:val="20"/>
          <w:szCs w:val="20"/>
        </w:rPr>
        <w:t xml:space="preserve">(3) </w:t>
      </w:r>
      <w:r w:rsidRPr="008D1440">
        <w:rPr>
          <w:sz w:val="20"/>
          <w:szCs w:val="20"/>
          <w:u w:val="single"/>
        </w:rPr>
        <w:t xml:space="preserve">Fristlose Kündigung der klinischen Prüfung durch </w:t>
      </w:r>
      <w:r w:rsidR="00601E3B">
        <w:rPr>
          <w:sz w:val="20"/>
          <w:szCs w:val="20"/>
          <w:u w:val="single"/>
        </w:rPr>
        <w:t>das Prüfzentrum</w:t>
      </w:r>
      <w:r w:rsidRPr="001F2B1B">
        <w:rPr>
          <w:sz w:val="20"/>
          <w:szCs w:val="20"/>
        </w:rPr>
        <w:t xml:space="preserve">. </w:t>
      </w:r>
      <w:r w:rsidR="00A7217C">
        <w:rPr>
          <w:sz w:val="20"/>
          <w:szCs w:val="20"/>
        </w:rPr>
        <w:t>Das Prüfzentrum</w:t>
      </w:r>
      <w:r w:rsidRPr="001F2B1B">
        <w:rPr>
          <w:sz w:val="20"/>
          <w:szCs w:val="20"/>
        </w:rPr>
        <w:t xml:space="preserve"> kann die klinische Prüfung aus wichtigem Grund mit sofortiger Wirkung schriftlich gegenüber dem Auftraggeber kündigen. Ein wichtiger Grund liegt u. a. vor, wenn </w:t>
      </w:r>
      <w:r w:rsidR="00A7217C">
        <w:rPr>
          <w:sz w:val="20"/>
          <w:szCs w:val="20"/>
        </w:rPr>
        <w:t>das Prüfzentrum</w:t>
      </w:r>
      <w:r w:rsidRPr="001F2B1B">
        <w:rPr>
          <w:sz w:val="20"/>
          <w:szCs w:val="20"/>
        </w:rPr>
        <w:t xml:space="preserve"> durch die zuständige Ethik-Kommission oder die zuständige Aufsichtsbehörde zur Beendigung der klinischen Prüfung aufgefordert wird oder die </w:t>
      </w:r>
      <w:r w:rsidR="008C273E">
        <w:rPr>
          <w:sz w:val="20"/>
          <w:szCs w:val="20"/>
        </w:rPr>
        <w:t xml:space="preserve">fristlose </w:t>
      </w:r>
      <w:r w:rsidRPr="001F2B1B">
        <w:rPr>
          <w:sz w:val="20"/>
          <w:szCs w:val="20"/>
        </w:rPr>
        <w:t xml:space="preserve">Kündigung zum Schutz der Gesundheit von </w:t>
      </w:r>
      <w:r w:rsidR="008D1440">
        <w:rPr>
          <w:sz w:val="20"/>
          <w:szCs w:val="20"/>
        </w:rPr>
        <w:t>Prüfungs</w:t>
      </w:r>
      <w:r w:rsidR="008D1440" w:rsidRPr="00E73BE1">
        <w:rPr>
          <w:sz w:val="20"/>
          <w:szCs w:val="20"/>
        </w:rPr>
        <w:t>teilnehmer</w:t>
      </w:r>
      <w:r w:rsidR="008D1440">
        <w:rPr>
          <w:sz w:val="20"/>
          <w:szCs w:val="20"/>
        </w:rPr>
        <w:t>n</w:t>
      </w:r>
      <w:r w:rsidR="008D1440" w:rsidRPr="00E73BE1" w:rsidDel="00E73BE1">
        <w:rPr>
          <w:sz w:val="20"/>
          <w:szCs w:val="20"/>
        </w:rPr>
        <w:t xml:space="preserve"> </w:t>
      </w:r>
      <w:r w:rsidRPr="001F2B1B">
        <w:rPr>
          <w:sz w:val="20"/>
          <w:szCs w:val="20"/>
        </w:rPr>
        <w:t>erforderlich ist</w:t>
      </w:r>
      <w:r w:rsidR="00AB3CB1">
        <w:rPr>
          <w:sz w:val="20"/>
          <w:szCs w:val="20"/>
        </w:rPr>
        <w:t xml:space="preserve"> oder wenn </w:t>
      </w:r>
      <w:r w:rsidR="00B84739">
        <w:rPr>
          <w:sz w:val="20"/>
          <w:szCs w:val="20"/>
        </w:rPr>
        <w:t xml:space="preserve">(i) </w:t>
      </w:r>
      <w:r w:rsidR="00AB3CB1" w:rsidRPr="001B6494">
        <w:rPr>
          <w:sz w:val="20"/>
          <w:szCs w:val="20"/>
        </w:rPr>
        <w:t>der Auftraggeber in Zahlungsrückstand in nicht unerheblicher Höhe geraten ist oder sich sein Zahlungsverzug</w:t>
      </w:r>
      <w:r w:rsidR="0015109D" w:rsidRPr="001B6494">
        <w:rPr>
          <w:sz w:val="20"/>
          <w:szCs w:val="20"/>
        </w:rPr>
        <w:t xml:space="preserve"> über einen längeren Zeitraum erstreckt hat und</w:t>
      </w:r>
      <w:r w:rsidR="00B84739">
        <w:rPr>
          <w:sz w:val="20"/>
          <w:szCs w:val="20"/>
        </w:rPr>
        <w:t xml:space="preserve"> (ii) </w:t>
      </w:r>
      <w:r w:rsidR="0015109D" w:rsidRPr="001B6494">
        <w:rPr>
          <w:sz w:val="20"/>
          <w:szCs w:val="20"/>
        </w:rPr>
        <w:t>das Prüfzentrum diesen Fehler gegenüber dem Auftraggeber abgemahnt hat</w:t>
      </w:r>
      <w:r w:rsidRPr="001B6494">
        <w:rPr>
          <w:sz w:val="20"/>
          <w:szCs w:val="20"/>
        </w:rPr>
        <w:t>.</w:t>
      </w:r>
    </w:p>
    <w:p w14:paraId="5BECDB39" w14:textId="77777777" w:rsidR="001F2B1B" w:rsidRPr="001F2B1B" w:rsidRDefault="001F2B1B" w:rsidP="00C70646">
      <w:pPr>
        <w:tabs>
          <w:tab w:val="left" w:pos="5238"/>
        </w:tabs>
        <w:jc w:val="both"/>
        <w:rPr>
          <w:sz w:val="20"/>
          <w:szCs w:val="20"/>
        </w:rPr>
      </w:pPr>
    </w:p>
    <w:p w14:paraId="28A2FA84" w14:textId="3E49AAE8" w:rsidR="001F2B1B" w:rsidRPr="00235FAD" w:rsidRDefault="00BD5448" w:rsidP="00C70646">
      <w:pPr>
        <w:tabs>
          <w:tab w:val="left" w:pos="0"/>
        </w:tabs>
        <w:jc w:val="both"/>
        <w:rPr>
          <w:sz w:val="20"/>
          <w:szCs w:val="20"/>
          <w:u w:val="single"/>
        </w:rPr>
      </w:pPr>
      <w:r>
        <w:rPr>
          <w:sz w:val="20"/>
          <w:szCs w:val="20"/>
          <w:u w:val="single"/>
        </w:rPr>
        <w:t>10</w:t>
      </w:r>
      <w:r w:rsidR="001F2B1B" w:rsidRPr="00235FAD">
        <w:rPr>
          <w:sz w:val="20"/>
          <w:szCs w:val="20"/>
          <w:u w:val="single"/>
        </w:rPr>
        <w:t>.2</w:t>
      </w:r>
      <w:r w:rsidR="00C05BE4" w:rsidRPr="00235FAD">
        <w:rPr>
          <w:sz w:val="20"/>
          <w:szCs w:val="20"/>
          <w:u w:val="single"/>
        </w:rPr>
        <w:tab/>
      </w:r>
      <w:r w:rsidR="001F2B1B" w:rsidRPr="00235FAD">
        <w:rPr>
          <w:sz w:val="20"/>
          <w:szCs w:val="20"/>
          <w:u w:val="single"/>
        </w:rPr>
        <w:t xml:space="preserve">Zahlungen im Fall der Kündigung der klinischen Prüfung. </w:t>
      </w:r>
    </w:p>
    <w:p w14:paraId="0F716782" w14:textId="77777777" w:rsidR="001F2B1B" w:rsidRPr="00261262" w:rsidRDefault="001F2B1B" w:rsidP="00C70646">
      <w:pPr>
        <w:tabs>
          <w:tab w:val="left" w:pos="5238"/>
        </w:tabs>
        <w:jc w:val="both"/>
        <w:rPr>
          <w:sz w:val="20"/>
          <w:szCs w:val="20"/>
        </w:rPr>
      </w:pPr>
    </w:p>
    <w:p w14:paraId="0C9C99A1" w14:textId="18437DBB" w:rsidR="001F2B1B" w:rsidRPr="00261262" w:rsidRDefault="001F2B1B" w:rsidP="00C70646">
      <w:pPr>
        <w:tabs>
          <w:tab w:val="left" w:pos="5238"/>
        </w:tabs>
        <w:jc w:val="both"/>
        <w:rPr>
          <w:sz w:val="20"/>
          <w:szCs w:val="20"/>
        </w:rPr>
      </w:pPr>
      <w:r w:rsidRPr="00261262">
        <w:rPr>
          <w:sz w:val="20"/>
          <w:szCs w:val="20"/>
        </w:rPr>
        <w:t xml:space="preserve">Im Falle einer vorzeitigen Kündigung kommen im Hinblick auf die ausstehenden Zahlungen zu </w:t>
      </w:r>
      <w:r w:rsidR="00190F4D">
        <w:rPr>
          <w:sz w:val="20"/>
          <w:szCs w:val="20"/>
        </w:rPr>
        <w:t>prüfungs</w:t>
      </w:r>
      <w:r w:rsidR="00190F4D" w:rsidRPr="00261262">
        <w:rPr>
          <w:sz w:val="20"/>
          <w:szCs w:val="20"/>
        </w:rPr>
        <w:t xml:space="preserve">bedingten </w:t>
      </w:r>
      <w:r w:rsidRPr="00261262">
        <w:rPr>
          <w:sz w:val="20"/>
          <w:szCs w:val="20"/>
        </w:rPr>
        <w:t>Kosten folgende Regelungen zur Anwendung:</w:t>
      </w:r>
    </w:p>
    <w:p w14:paraId="6EBE8030" w14:textId="77777777" w:rsidR="001F2B1B" w:rsidRPr="00261262" w:rsidRDefault="001F2B1B" w:rsidP="00C70646">
      <w:pPr>
        <w:tabs>
          <w:tab w:val="left" w:pos="5238"/>
        </w:tabs>
        <w:jc w:val="both"/>
        <w:rPr>
          <w:sz w:val="20"/>
          <w:szCs w:val="20"/>
        </w:rPr>
      </w:pPr>
    </w:p>
    <w:p w14:paraId="1D48B550" w14:textId="7CAFE8C4" w:rsidR="001F2B1B" w:rsidRPr="00261262" w:rsidRDefault="001F2B1B" w:rsidP="00C70646">
      <w:pPr>
        <w:tabs>
          <w:tab w:val="left" w:pos="5238"/>
        </w:tabs>
        <w:ind w:left="426"/>
        <w:jc w:val="both"/>
        <w:rPr>
          <w:sz w:val="20"/>
          <w:szCs w:val="20"/>
        </w:rPr>
      </w:pPr>
      <w:r w:rsidRPr="00261262">
        <w:rPr>
          <w:sz w:val="20"/>
          <w:szCs w:val="20"/>
        </w:rPr>
        <w:t xml:space="preserve">a) </w:t>
      </w:r>
      <w:r w:rsidRPr="008D1440">
        <w:rPr>
          <w:sz w:val="20"/>
          <w:szCs w:val="20"/>
          <w:u w:val="single"/>
        </w:rPr>
        <w:t>Zahlungen bei vorzeitiger Kündigung</w:t>
      </w:r>
      <w:r w:rsidRPr="00261262">
        <w:rPr>
          <w:sz w:val="20"/>
          <w:szCs w:val="20"/>
        </w:rPr>
        <w:t xml:space="preserve">: Vorbehaltlich </w:t>
      </w:r>
      <w:r w:rsidR="00075699" w:rsidRPr="00261262">
        <w:rPr>
          <w:sz w:val="20"/>
          <w:szCs w:val="20"/>
        </w:rPr>
        <w:t>anderslautender</w:t>
      </w:r>
      <w:r w:rsidRPr="00261262">
        <w:rPr>
          <w:sz w:val="20"/>
          <w:szCs w:val="20"/>
        </w:rPr>
        <w:t xml:space="preserve"> Bestimmungen in diesem Unterabschnitt leistet der </w:t>
      </w:r>
      <w:r w:rsidR="00A7217C">
        <w:rPr>
          <w:sz w:val="20"/>
          <w:szCs w:val="20"/>
        </w:rPr>
        <w:t>Auftraggeber</w:t>
      </w:r>
      <w:r w:rsidRPr="00261262">
        <w:rPr>
          <w:sz w:val="20"/>
          <w:szCs w:val="20"/>
        </w:rPr>
        <w:t xml:space="preserve"> bei vorzeitiger Kündigung der klinischen Prüfung </w:t>
      </w:r>
      <w:r w:rsidR="00B154A3">
        <w:rPr>
          <w:sz w:val="20"/>
          <w:szCs w:val="20"/>
        </w:rPr>
        <w:t xml:space="preserve">Zahlungen </w:t>
      </w:r>
      <w:r w:rsidRPr="00261262">
        <w:rPr>
          <w:sz w:val="20"/>
          <w:szCs w:val="20"/>
        </w:rPr>
        <w:t xml:space="preserve">in Übereinstimmung mit der Anlage zum </w:t>
      </w:r>
      <w:r w:rsidR="008D1440">
        <w:rPr>
          <w:sz w:val="20"/>
          <w:szCs w:val="20"/>
        </w:rPr>
        <w:t>Prüfungs</w:t>
      </w:r>
      <w:r w:rsidR="008D1440" w:rsidRPr="00261262">
        <w:rPr>
          <w:sz w:val="20"/>
          <w:szCs w:val="20"/>
        </w:rPr>
        <w:t xml:space="preserve">budget </w:t>
      </w:r>
      <w:r w:rsidRPr="00261262">
        <w:rPr>
          <w:sz w:val="20"/>
          <w:szCs w:val="20"/>
        </w:rPr>
        <w:t xml:space="preserve">und den Zahlungsbedingungen für bereits vor Zugang der Kündigung durchgeführte, ordnungsgemäß erbrachte Arbeiten unter Abzug der bereits für diese Arbeiten geleisteten Zahlungen. Der </w:t>
      </w:r>
      <w:r w:rsidR="00A7217C">
        <w:rPr>
          <w:sz w:val="20"/>
          <w:szCs w:val="20"/>
        </w:rPr>
        <w:t>Auftraggeber</w:t>
      </w:r>
      <w:r w:rsidRPr="00261262">
        <w:rPr>
          <w:sz w:val="20"/>
          <w:szCs w:val="20"/>
        </w:rPr>
        <w:t xml:space="preserve"> kommt auch für alle nicht stornierbaren Kosten</w:t>
      </w:r>
      <w:r w:rsidR="00A5328E" w:rsidRPr="00261262">
        <w:rPr>
          <w:sz w:val="20"/>
          <w:szCs w:val="20"/>
        </w:rPr>
        <w:t xml:space="preserve"> auf</w:t>
      </w:r>
      <w:r w:rsidRPr="00261262">
        <w:rPr>
          <w:sz w:val="20"/>
          <w:szCs w:val="20"/>
        </w:rPr>
        <w:t xml:space="preserve">, </w:t>
      </w:r>
      <w:r w:rsidRPr="00F90FCB">
        <w:rPr>
          <w:sz w:val="20"/>
          <w:szCs w:val="20"/>
        </w:rPr>
        <w:t>solange sie ordnungsgemäß angefallen sind</w:t>
      </w:r>
      <w:r w:rsidR="008D6FDA" w:rsidRPr="00F90FCB">
        <w:rPr>
          <w:sz w:val="20"/>
          <w:szCs w:val="20"/>
        </w:rPr>
        <w:t>,</w:t>
      </w:r>
      <w:r w:rsidRPr="00F90FCB">
        <w:rPr>
          <w:sz w:val="20"/>
          <w:szCs w:val="20"/>
        </w:rPr>
        <w:t xml:space="preserve"> vorab vom </w:t>
      </w:r>
      <w:r w:rsidR="00A7217C">
        <w:rPr>
          <w:sz w:val="20"/>
          <w:szCs w:val="20"/>
        </w:rPr>
        <w:t>Auftraggeber</w:t>
      </w:r>
      <w:r w:rsidRPr="00F90FCB">
        <w:rPr>
          <w:sz w:val="20"/>
          <w:szCs w:val="20"/>
        </w:rPr>
        <w:t xml:space="preserve"> genehmigt wurden und nur insofern sie nicht hinreichend gemindert werden können. </w:t>
      </w:r>
      <w:r w:rsidR="00A5328E" w:rsidRPr="008E6B72">
        <w:rPr>
          <w:i/>
          <w:sz w:val="20"/>
          <w:szCs w:val="20"/>
          <w:highlight w:val="lightGray"/>
        </w:rPr>
        <w:t xml:space="preserve">Spezifisch für die betreffende klinische Prüfung </w:t>
      </w:r>
      <w:r w:rsidR="006F0E89" w:rsidRPr="008E6B72">
        <w:rPr>
          <w:i/>
          <w:sz w:val="20"/>
          <w:szCs w:val="20"/>
          <w:highlight w:val="lightGray"/>
        </w:rPr>
        <w:t xml:space="preserve">mit Genehmigung des Auftraggebers </w:t>
      </w:r>
      <w:r w:rsidR="00A5328E" w:rsidRPr="008E6B72">
        <w:rPr>
          <w:i/>
          <w:sz w:val="20"/>
          <w:szCs w:val="20"/>
          <w:highlight w:val="lightGray"/>
        </w:rPr>
        <w:t xml:space="preserve">eingestelltes Personal wird </w:t>
      </w:r>
      <w:r w:rsidR="006F0E89" w:rsidRPr="008E6B72">
        <w:rPr>
          <w:i/>
          <w:sz w:val="20"/>
          <w:szCs w:val="20"/>
          <w:highlight w:val="lightGray"/>
        </w:rPr>
        <w:t xml:space="preserve">ggf. über den </w:t>
      </w:r>
      <w:r w:rsidR="00A7217C">
        <w:rPr>
          <w:i/>
          <w:sz w:val="20"/>
          <w:szCs w:val="20"/>
          <w:highlight w:val="lightGray"/>
        </w:rPr>
        <w:t>Auftraggeber</w:t>
      </w:r>
      <w:r w:rsidR="006F0E89" w:rsidRPr="008E6B72">
        <w:rPr>
          <w:i/>
          <w:sz w:val="20"/>
          <w:szCs w:val="20"/>
          <w:highlight w:val="lightGray"/>
        </w:rPr>
        <w:t xml:space="preserve"> weiter finanziert, jedoch nur im Fall befristeter Einstellungen und </w:t>
      </w:r>
      <w:r w:rsidR="008D6FDA" w:rsidRPr="008E6B72">
        <w:rPr>
          <w:i/>
          <w:sz w:val="20"/>
          <w:szCs w:val="20"/>
          <w:highlight w:val="lightGray"/>
        </w:rPr>
        <w:t xml:space="preserve">maximal </w:t>
      </w:r>
      <w:r w:rsidR="00A5328E" w:rsidRPr="008E6B72">
        <w:rPr>
          <w:i/>
          <w:sz w:val="20"/>
          <w:szCs w:val="20"/>
          <w:highlight w:val="lightGray"/>
        </w:rPr>
        <w:t>bis zu</w:t>
      </w:r>
      <w:r w:rsidR="006F0E89" w:rsidRPr="008E6B72">
        <w:rPr>
          <w:i/>
          <w:sz w:val="20"/>
          <w:szCs w:val="20"/>
          <w:highlight w:val="lightGray"/>
        </w:rPr>
        <w:t>m</w:t>
      </w:r>
      <w:r w:rsidR="00A5328E" w:rsidRPr="008E6B72">
        <w:rPr>
          <w:i/>
          <w:sz w:val="20"/>
          <w:szCs w:val="20"/>
          <w:highlight w:val="lightGray"/>
        </w:rPr>
        <w:t xml:space="preserve"> nächstmöglichen </w:t>
      </w:r>
      <w:r w:rsidR="006F0E89" w:rsidRPr="008E6B72">
        <w:rPr>
          <w:i/>
          <w:sz w:val="20"/>
          <w:szCs w:val="20"/>
          <w:highlight w:val="lightGray"/>
        </w:rPr>
        <w:t>Zeitpunkt, an dem das jeweilige Arbeitsverhältnis beendet werden kann</w:t>
      </w:r>
      <w:r w:rsidR="003E40CB" w:rsidRPr="008E6B72">
        <w:rPr>
          <w:i/>
          <w:sz w:val="20"/>
          <w:szCs w:val="20"/>
          <w:highlight w:val="lightGray"/>
        </w:rPr>
        <w:t>*</w:t>
      </w:r>
      <w:r w:rsidR="00A5328E" w:rsidRPr="008E6B72">
        <w:rPr>
          <w:sz w:val="20"/>
          <w:szCs w:val="20"/>
        </w:rPr>
        <w:t>.</w:t>
      </w:r>
      <w:r w:rsidR="00A5328E" w:rsidRPr="00F90FCB">
        <w:rPr>
          <w:sz w:val="20"/>
          <w:szCs w:val="20"/>
        </w:rPr>
        <w:t xml:space="preserve"> </w:t>
      </w:r>
      <w:r w:rsidRPr="00261262">
        <w:rPr>
          <w:sz w:val="20"/>
          <w:szCs w:val="20"/>
        </w:rPr>
        <w:t xml:space="preserve">Kann die klinische Prüfung aufgrund ablehnender Bewertung durch die Ethik-Kommission, Versagung durch die zuständige Bundesoberbehörde und ohne Verschulden des </w:t>
      </w:r>
      <w:r w:rsidR="00BC764C">
        <w:rPr>
          <w:sz w:val="20"/>
          <w:szCs w:val="20"/>
        </w:rPr>
        <w:t xml:space="preserve">Prüfzentrums </w:t>
      </w:r>
      <w:r w:rsidRPr="00261262">
        <w:rPr>
          <w:sz w:val="20"/>
          <w:szCs w:val="20"/>
        </w:rPr>
        <w:t xml:space="preserve">nicht initiiert werden, erstattet der </w:t>
      </w:r>
      <w:r w:rsidR="00A7217C">
        <w:rPr>
          <w:sz w:val="20"/>
          <w:szCs w:val="20"/>
        </w:rPr>
        <w:t>Auftraggeber</w:t>
      </w:r>
      <w:r w:rsidRPr="00261262">
        <w:rPr>
          <w:sz w:val="20"/>
          <w:szCs w:val="20"/>
        </w:rPr>
        <w:t xml:space="preserve"> dem </w:t>
      </w:r>
      <w:r w:rsidR="00BC764C">
        <w:rPr>
          <w:sz w:val="20"/>
          <w:szCs w:val="20"/>
        </w:rPr>
        <w:t>Prüfzentrum</w:t>
      </w:r>
      <w:r w:rsidR="00BC764C" w:rsidRPr="00261262">
        <w:rPr>
          <w:sz w:val="20"/>
          <w:szCs w:val="20"/>
        </w:rPr>
        <w:t xml:space="preserve"> </w:t>
      </w:r>
      <w:r w:rsidRPr="00261262">
        <w:rPr>
          <w:sz w:val="20"/>
          <w:szCs w:val="20"/>
        </w:rPr>
        <w:t xml:space="preserve">die ggf. angefallenen Ethik-Kommissionsgebühren, Gebühren bei der zuständigen Bundesoberbehörde sowie alle sonstigen Aufwendungen, die schriftlich vorab vom </w:t>
      </w:r>
      <w:r w:rsidR="00A7217C">
        <w:rPr>
          <w:sz w:val="20"/>
          <w:szCs w:val="20"/>
        </w:rPr>
        <w:t>Auftraggeber</w:t>
      </w:r>
      <w:r w:rsidRPr="00261262">
        <w:rPr>
          <w:sz w:val="20"/>
          <w:szCs w:val="20"/>
        </w:rPr>
        <w:t xml:space="preserve"> genehmigt wurden.</w:t>
      </w:r>
    </w:p>
    <w:p w14:paraId="09608BEB" w14:textId="77777777" w:rsidR="001F2B1B" w:rsidRPr="00261262" w:rsidRDefault="001F2B1B" w:rsidP="00C70646">
      <w:pPr>
        <w:tabs>
          <w:tab w:val="left" w:pos="5238"/>
        </w:tabs>
        <w:ind w:left="426"/>
        <w:jc w:val="both"/>
        <w:rPr>
          <w:sz w:val="20"/>
          <w:szCs w:val="20"/>
        </w:rPr>
      </w:pPr>
    </w:p>
    <w:p w14:paraId="57E45F48" w14:textId="040288F5" w:rsidR="001F2B1B" w:rsidRDefault="001F2B1B" w:rsidP="00C70646">
      <w:pPr>
        <w:tabs>
          <w:tab w:val="left" w:pos="5238"/>
        </w:tabs>
        <w:ind w:left="426"/>
        <w:jc w:val="both"/>
        <w:rPr>
          <w:sz w:val="20"/>
          <w:szCs w:val="20"/>
        </w:rPr>
      </w:pPr>
      <w:r w:rsidRPr="00261262">
        <w:rPr>
          <w:sz w:val="20"/>
          <w:szCs w:val="20"/>
        </w:rPr>
        <w:t xml:space="preserve">b) </w:t>
      </w:r>
      <w:r w:rsidRPr="008D1440">
        <w:rPr>
          <w:sz w:val="20"/>
          <w:szCs w:val="20"/>
          <w:u w:val="single"/>
        </w:rPr>
        <w:t>Nichteinhaltung der vertraglichen Regelungen</w:t>
      </w:r>
      <w:r w:rsidRPr="00261262">
        <w:rPr>
          <w:sz w:val="20"/>
          <w:szCs w:val="20"/>
        </w:rPr>
        <w:t xml:space="preserve">: Kündigt der </w:t>
      </w:r>
      <w:r w:rsidR="00A7217C">
        <w:rPr>
          <w:sz w:val="20"/>
          <w:szCs w:val="20"/>
        </w:rPr>
        <w:t>Auftraggeber</w:t>
      </w:r>
      <w:r w:rsidRPr="00261262">
        <w:rPr>
          <w:sz w:val="20"/>
          <w:szCs w:val="20"/>
        </w:rPr>
        <w:t xml:space="preserve"> die klinische Prüfung aufgrund eines Vertragsbruchs durch </w:t>
      </w:r>
      <w:r w:rsidR="00055ADC">
        <w:rPr>
          <w:sz w:val="20"/>
          <w:szCs w:val="20"/>
        </w:rPr>
        <w:t>das Prüfzentrum</w:t>
      </w:r>
      <w:r w:rsidRPr="00261262">
        <w:rPr>
          <w:sz w:val="20"/>
          <w:szCs w:val="20"/>
        </w:rPr>
        <w:t xml:space="preserve">, leistet der </w:t>
      </w:r>
      <w:r w:rsidR="00A7217C">
        <w:rPr>
          <w:sz w:val="20"/>
          <w:szCs w:val="20"/>
        </w:rPr>
        <w:t>Auftraggeber</w:t>
      </w:r>
      <w:r w:rsidRPr="00261262">
        <w:rPr>
          <w:sz w:val="20"/>
          <w:szCs w:val="20"/>
        </w:rPr>
        <w:t xml:space="preserve"> </w:t>
      </w:r>
      <w:r w:rsidR="00055ADC">
        <w:rPr>
          <w:sz w:val="20"/>
          <w:szCs w:val="20"/>
        </w:rPr>
        <w:t>dem Prüfzentrum</w:t>
      </w:r>
      <w:r w:rsidRPr="00261262">
        <w:rPr>
          <w:sz w:val="20"/>
          <w:szCs w:val="20"/>
        </w:rPr>
        <w:t xml:space="preserve"> </w:t>
      </w:r>
      <w:proofErr w:type="gramStart"/>
      <w:r w:rsidRPr="00261262">
        <w:rPr>
          <w:sz w:val="20"/>
          <w:szCs w:val="20"/>
        </w:rPr>
        <w:t>gegenüber keine weiteren Zahlungen</w:t>
      </w:r>
      <w:proofErr w:type="gramEnd"/>
      <w:r w:rsidRPr="00261262">
        <w:rPr>
          <w:sz w:val="20"/>
          <w:szCs w:val="20"/>
        </w:rPr>
        <w:t xml:space="preserve"> aus dieser Vereinbarung, ungeachtet von Maßnahmen, die </w:t>
      </w:r>
      <w:r w:rsidR="00A7217C">
        <w:rPr>
          <w:sz w:val="20"/>
          <w:szCs w:val="20"/>
        </w:rPr>
        <w:t>das Prüfzentrum</w:t>
      </w:r>
      <w:r w:rsidRPr="00261262">
        <w:rPr>
          <w:sz w:val="20"/>
          <w:szCs w:val="20"/>
        </w:rPr>
        <w:t xml:space="preserve"> unternommen hat, oder von Drittvereinbarungen, die </w:t>
      </w:r>
      <w:r w:rsidR="00A7217C">
        <w:rPr>
          <w:sz w:val="20"/>
          <w:szCs w:val="20"/>
        </w:rPr>
        <w:t>das Prüfzentrum</w:t>
      </w:r>
      <w:r w:rsidRPr="00261262">
        <w:rPr>
          <w:sz w:val="20"/>
          <w:szCs w:val="20"/>
        </w:rPr>
        <w:t xml:space="preserve"> vor der Kündigung abgeschlossen hat</w:t>
      </w:r>
      <w:r w:rsidR="00AD588F" w:rsidRPr="00261262">
        <w:rPr>
          <w:sz w:val="20"/>
          <w:szCs w:val="20"/>
        </w:rPr>
        <w:t>, e</w:t>
      </w:r>
      <w:r w:rsidR="00A5328E" w:rsidRPr="00261262">
        <w:rPr>
          <w:sz w:val="20"/>
          <w:szCs w:val="20"/>
        </w:rPr>
        <w:t>s sei denn</w:t>
      </w:r>
      <w:r w:rsidR="00FE4D22">
        <w:rPr>
          <w:sz w:val="20"/>
          <w:szCs w:val="20"/>
        </w:rPr>
        <w:t>,</w:t>
      </w:r>
      <w:r w:rsidR="00A5328E" w:rsidRPr="00261262">
        <w:rPr>
          <w:sz w:val="20"/>
          <w:szCs w:val="20"/>
        </w:rPr>
        <w:t xml:space="preserve"> die Leistungen wurden vor Vertragsbruch ordnungsgemäß erbracht.</w:t>
      </w:r>
    </w:p>
    <w:p w14:paraId="6F282DBC" w14:textId="77777777" w:rsidR="00204DFE" w:rsidRDefault="00204DFE" w:rsidP="00C70646">
      <w:pPr>
        <w:tabs>
          <w:tab w:val="left" w:pos="5238"/>
        </w:tabs>
        <w:ind w:left="426"/>
        <w:jc w:val="both"/>
        <w:rPr>
          <w:sz w:val="20"/>
          <w:szCs w:val="20"/>
        </w:rPr>
      </w:pPr>
    </w:p>
    <w:p w14:paraId="736F8AAB" w14:textId="3FF7FC84" w:rsidR="00204DFE" w:rsidRPr="00B95166" w:rsidRDefault="00B95166" w:rsidP="00C70646">
      <w:pPr>
        <w:pStyle w:val="Listenabsatz"/>
        <w:tabs>
          <w:tab w:val="left" w:pos="5238"/>
        </w:tabs>
        <w:jc w:val="both"/>
        <w:rPr>
          <w:rFonts w:ascii="Verdana" w:hAnsi="Verdana"/>
          <w:i/>
          <w:sz w:val="18"/>
          <w:szCs w:val="18"/>
        </w:rPr>
      </w:pPr>
      <w:proofErr w:type="gramStart"/>
      <w:r w:rsidRPr="00B95166">
        <w:rPr>
          <w:rFonts w:ascii="Verdana" w:hAnsi="Verdana"/>
          <w:i/>
          <w:sz w:val="18"/>
          <w:szCs w:val="18"/>
          <w:highlight w:val="lightGray"/>
          <w:u w:val="single"/>
        </w:rPr>
        <w:t>Hinweis</w:t>
      </w:r>
      <w:r w:rsidRPr="00B95166">
        <w:rPr>
          <w:rFonts w:ascii="Verdana" w:hAnsi="Verdana"/>
          <w:i/>
          <w:sz w:val="18"/>
          <w:szCs w:val="18"/>
          <w:highlight w:val="lightGray"/>
        </w:rPr>
        <w:t>:</w:t>
      </w:r>
      <w:r w:rsidR="00F90FCB" w:rsidRPr="00B95166">
        <w:rPr>
          <w:rFonts w:ascii="Verdana" w:hAnsi="Verdana"/>
          <w:i/>
          <w:sz w:val="18"/>
          <w:szCs w:val="18"/>
          <w:highlight w:val="lightGray"/>
        </w:rPr>
        <w:t>*</w:t>
      </w:r>
      <w:proofErr w:type="gramEnd"/>
      <w:r w:rsidR="00F90FCB" w:rsidRPr="00B95166">
        <w:rPr>
          <w:rFonts w:ascii="Verdana" w:hAnsi="Verdana"/>
          <w:i/>
          <w:sz w:val="18"/>
          <w:szCs w:val="18"/>
          <w:highlight w:val="lightGray"/>
        </w:rPr>
        <w:t xml:space="preserve"> </w:t>
      </w:r>
      <w:r w:rsidR="00204DFE" w:rsidRPr="00B95166">
        <w:rPr>
          <w:rFonts w:ascii="Verdana" w:hAnsi="Verdana"/>
          <w:i/>
          <w:sz w:val="18"/>
          <w:szCs w:val="18"/>
          <w:highlight w:val="lightGray"/>
        </w:rPr>
        <w:t xml:space="preserve">Dieser </w:t>
      </w:r>
      <w:r w:rsidR="00F90FCB" w:rsidRPr="00B95166">
        <w:rPr>
          <w:rFonts w:ascii="Verdana" w:hAnsi="Verdana"/>
          <w:i/>
          <w:sz w:val="18"/>
          <w:szCs w:val="18"/>
          <w:highlight w:val="lightGray"/>
        </w:rPr>
        <w:t xml:space="preserve">hervorgehobene </w:t>
      </w:r>
      <w:r w:rsidR="00204DFE" w:rsidRPr="00B95166">
        <w:rPr>
          <w:rFonts w:ascii="Verdana" w:hAnsi="Verdana"/>
          <w:i/>
          <w:sz w:val="18"/>
          <w:szCs w:val="18"/>
          <w:highlight w:val="lightGray"/>
        </w:rPr>
        <w:t>Satz soll einen nicht häufig vorkommenden Spezialfall abdecken</w:t>
      </w:r>
      <w:r w:rsidR="00FE4D22" w:rsidRPr="00B95166">
        <w:rPr>
          <w:rFonts w:ascii="Verdana" w:hAnsi="Verdana"/>
          <w:i/>
          <w:sz w:val="18"/>
          <w:szCs w:val="18"/>
          <w:highlight w:val="lightGray"/>
        </w:rPr>
        <w:t>;</w:t>
      </w:r>
      <w:r w:rsidR="00204DFE" w:rsidRPr="00B95166">
        <w:rPr>
          <w:rFonts w:ascii="Verdana" w:hAnsi="Verdana"/>
          <w:i/>
          <w:sz w:val="18"/>
          <w:szCs w:val="18"/>
          <w:highlight w:val="lightGray"/>
        </w:rPr>
        <w:t xml:space="preserve"> </w:t>
      </w:r>
      <w:r w:rsidR="00F90FCB" w:rsidRPr="00B95166">
        <w:rPr>
          <w:rFonts w:ascii="Verdana" w:hAnsi="Verdana"/>
          <w:i/>
          <w:sz w:val="18"/>
          <w:szCs w:val="18"/>
          <w:highlight w:val="lightGray"/>
        </w:rPr>
        <w:t xml:space="preserve">die Formulierung ist daher nur </w:t>
      </w:r>
      <w:r w:rsidR="00204DFE" w:rsidRPr="00B95166">
        <w:rPr>
          <w:rFonts w:ascii="Verdana" w:hAnsi="Verdana"/>
          <w:i/>
          <w:sz w:val="18"/>
          <w:szCs w:val="18"/>
          <w:highlight w:val="lightGray"/>
        </w:rPr>
        <w:t xml:space="preserve">im </w:t>
      </w:r>
      <w:r w:rsidR="00F90FCB" w:rsidRPr="00B95166">
        <w:rPr>
          <w:rFonts w:ascii="Verdana" w:hAnsi="Verdana"/>
          <w:i/>
          <w:sz w:val="18"/>
          <w:szCs w:val="18"/>
          <w:highlight w:val="lightGray"/>
        </w:rPr>
        <w:t>Bedarfs-/</w:t>
      </w:r>
      <w:r w:rsidR="00204DFE" w:rsidRPr="00B95166">
        <w:rPr>
          <w:rFonts w:ascii="Verdana" w:hAnsi="Verdana"/>
          <w:i/>
          <w:sz w:val="18"/>
          <w:szCs w:val="18"/>
          <w:highlight w:val="lightGray"/>
        </w:rPr>
        <w:t>Einzelfall aufzunehmen.</w:t>
      </w:r>
    </w:p>
    <w:p w14:paraId="1927A840" w14:textId="77777777" w:rsidR="00075699" w:rsidRPr="00261262" w:rsidRDefault="00075699" w:rsidP="00C70646">
      <w:pPr>
        <w:tabs>
          <w:tab w:val="left" w:pos="5238"/>
        </w:tabs>
        <w:jc w:val="both"/>
        <w:rPr>
          <w:sz w:val="20"/>
          <w:szCs w:val="20"/>
        </w:rPr>
      </w:pPr>
    </w:p>
    <w:p w14:paraId="216E68E8" w14:textId="1CEFC060" w:rsidR="001F2B1B" w:rsidRPr="00235FAD" w:rsidRDefault="00BD5448" w:rsidP="00C70646">
      <w:pPr>
        <w:tabs>
          <w:tab w:val="left" w:pos="0"/>
        </w:tabs>
        <w:jc w:val="both"/>
        <w:rPr>
          <w:sz w:val="20"/>
          <w:szCs w:val="20"/>
          <w:u w:val="single"/>
        </w:rPr>
      </w:pPr>
      <w:r>
        <w:rPr>
          <w:sz w:val="20"/>
          <w:szCs w:val="20"/>
          <w:u w:val="single"/>
        </w:rPr>
        <w:t>10</w:t>
      </w:r>
      <w:r w:rsidR="001F2B1B" w:rsidRPr="00235FAD">
        <w:rPr>
          <w:sz w:val="20"/>
          <w:szCs w:val="20"/>
          <w:u w:val="single"/>
        </w:rPr>
        <w:t>.</w:t>
      </w:r>
      <w:r w:rsidR="00A5328E" w:rsidRPr="00235FAD">
        <w:rPr>
          <w:sz w:val="20"/>
          <w:szCs w:val="20"/>
          <w:u w:val="single"/>
        </w:rPr>
        <w:t>3</w:t>
      </w:r>
      <w:r w:rsidR="00C05BE4" w:rsidRPr="00235FAD">
        <w:rPr>
          <w:sz w:val="20"/>
          <w:szCs w:val="20"/>
          <w:u w:val="single"/>
        </w:rPr>
        <w:tab/>
      </w:r>
      <w:r w:rsidR="001F2B1B" w:rsidRPr="00235FAD">
        <w:rPr>
          <w:sz w:val="20"/>
          <w:szCs w:val="20"/>
          <w:u w:val="single"/>
        </w:rPr>
        <w:t xml:space="preserve">Rückgabe von </w:t>
      </w:r>
      <w:r w:rsidR="00AD588F" w:rsidRPr="00235FAD">
        <w:rPr>
          <w:sz w:val="20"/>
          <w:szCs w:val="20"/>
          <w:u w:val="single"/>
        </w:rPr>
        <w:t xml:space="preserve">Geräten und </w:t>
      </w:r>
      <w:r w:rsidR="001F2B1B" w:rsidRPr="00235FAD">
        <w:rPr>
          <w:sz w:val="20"/>
          <w:szCs w:val="20"/>
          <w:u w:val="single"/>
        </w:rPr>
        <w:t xml:space="preserve">Materialien. </w:t>
      </w:r>
    </w:p>
    <w:p w14:paraId="23BB54F7" w14:textId="77777777" w:rsidR="001F2B1B" w:rsidRPr="00261262" w:rsidRDefault="001F2B1B" w:rsidP="00C70646">
      <w:pPr>
        <w:tabs>
          <w:tab w:val="left" w:pos="5238"/>
        </w:tabs>
        <w:jc w:val="both"/>
        <w:rPr>
          <w:sz w:val="20"/>
          <w:szCs w:val="20"/>
        </w:rPr>
      </w:pPr>
    </w:p>
    <w:p w14:paraId="64B7428C" w14:textId="038198B9" w:rsidR="001F2B1B" w:rsidRPr="00B72EC2" w:rsidRDefault="001F2B1B" w:rsidP="00C70646">
      <w:pPr>
        <w:tabs>
          <w:tab w:val="left" w:pos="5238"/>
        </w:tabs>
        <w:jc w:val="both"/>
        <w:rPr>
          <w:sz w:val="20"/>
          <w:szCs w:val="20"/>
        </w:rPr>
      </w:pPr>
      <w:r w:rsidRPr="00261262">
        <w:rPr>
          <w:sz w:val="20"/>
          <w:szCs w:val="20"/>
        </w:rPr>
        <w:t xml:space="preserve">Vorbehaltlich </w:t>
      </w:r>
      <w:r w:rsidR="00F90FCB" w:rsidRPr="00261262">
        <w:rPr>
          <w:sz w:val="20"/>
          <w:szCs w:val="20"/>
        </w:rPr>
        <w:t>anderslautender</w:t>
      </w:r>
      <w:r w:rsidRPr="00261262">
        <w:rPr>
          <w:sz w:val="20"/>
          <w:szCs w:val="20"/>
        </w:rPr>
        <w:t xml:space="preserve"> schriftlicher </w:t>
      </w:r>
      <w:r w:rsidR="00024D09">
        <w:rPr>
          <w:sz w:val="20"/>
          <w:szCs w:val="20"/>
        </w:rPr>
        <w:t>Vereinbarung zwischen den Parteien</w:t>
      </w:r>
      <w:r w:rsidR="00024D09" w:rsidRPr="00261262" w:rsidDel="00024D09">
        <w:rPr>
          <w:sz w:val="20"/>
          <w:szCs w:val="20"/>
        </w:rPr>
        <w:t xml:space="preserve"> </w:t>
      </w:r>
      <w:r w:rsidRPr="00261262">
        <w:rPr>
          <w:sz w:val="20"/>
          <w:szCs w:val="20"/>
        </w:rPr>
        <w:t xml:space="preserve">gibt </w:t>
      </w:r>
      <w:r w:rsidR="00A7217C">
        <w:rPr>
          <w:sz w:val="20"/>
          <w:szCs w:val="20"/>
        </w:rPr>
        <w:t>das Prüfzentrum</w:t>
      </w:r>
      <w:r w:rsidRPr="00261262">
        <w:rPr>
          <w:sz w:val="20"/>
          <w:szCs w:val="20"/>
        </w:rPr>
        <w:t xml:space="preserve"> unverzüglich nach Beendigung dieser Vereinbarung alle vom </w:t>
      </w:r>
      <w:r w:rsidR="00A7217C">
        <w:rPr>
          <w:sz w:val="20"/>
          <w:szCs w:val="20"/>
        </w:rPr>
        <w:t>Auftraggeber</w:t>
      </w:r>
      <w:r w:rsidRPr="00261262">
        <w:rPr>
          <w:sz w:val="20"/>
          <w:szCs w:val="20"/>
        </w:rPr>
        <w:t xml:space="preserve"> oder von ihm beauftragter Dritter für die </w:t>
      </w:r>
      <w:r w:rsidR="008D1440">
        <w:rPr>
          <w:sz w:val="20"/>
          <w:szCs w:val="20"/>
        </w:rPr>
        <w:t>D</w:t>
      </w:r>
      <w:r w:rsidR="008D1440" w:rsidRPr="00261262">
        <w:rPr>
          <w:sz w:val="20"/>
          <w:szCs w:val="20"/>
        </w:rPr>
        <w:t xml:space="preserve">urchführung </w:t>
      </w:r>
      <w:r w:rsidR="008D1440">
        <w:rPr>
          <w:sz w:val="20"/>
          <w:szCs w:val="20"/>
        </w:rPr>
        <w:t xml:space="preserve">der klinischen Prüfung </w:t>
      </w:r>
      <w:r w:rsidRPr="00261262">
        <w:rPr>
          <w:sz w:val="20"/>
          <w:szCs w:val="20"/>
        </w:rPr>
        <w:t xml:space="preserve">bereitgestellten </w:t>
      </w:r>
      <w:r w:rsidR="00AD588F" w:rsidRPr="00261262">
        <w:rPr>
          <w:sz w:val="20"/>
          <w:szCs w:val="20"/>
        </w:rPr>
        <w:t xml:space="preserve">Geräte und </w:t>
      </w:r>
      <w:r w:rsidRPr="00B72EC2">
        <w:rPr>
          <w:sz w:val="20"/>
          <w:szCs w:val="20"/>
        </w:rPr>
        <w:t xml:space="preserve">Materialien zurück, darunter auch </w:t>
      </w:r>
      <w:proofErr w:type="gramStart"/>
      <w:r w:rsidRPr="00B72EC2">
        <w:rPr>
          <w:sz w:val="20"/>
          <w:szCs w:val="20"/>
        </w:rPr>
        <w:t xml:space="preserve">ungenutzte </w:t>
      </w:r>
      <w:r w:rsidR="00190F4D" w:rsidRPr="00B72EC2">
        <w:rPr>
          <w:sz w:val="20"/>
          <w:szCs w:val="20"/>
        </w:rPr>
        <w:t xml:space="preserve"> </w:t>
      </w:r>
      <w:r w:rsidR="008D1440" w:rsidRPr="00B72EC2">
        <w:rPr>
          <w:sz w:val="20"/>
          <w:szCs w:val="20"/>
        </w:rPr>
        <w:t>Prüfpr</w:t>
      </w:r>
      <w:r w:rsidR="00190F4D" w:rsidRPr="00B72EC2">
        <w:rPr>
          <w:sz w:val="20"/>
          <w:szCs w:val="20"/>
        </w:rPr>
        <w:t>ä</w:t>
      </w:r>
      <w:r w:rsidR="008D1440" w:rsidRPr="00B72EC2">
        <w:rPr>
          <w:sz w:val="20"/>
          <w:szCs w:val="20"/>
        </w:rPr>
        <w:t>parate</w:t>
      </w:r>
      <w:proofErr w:type="gramEnd"/>
      <w:r w:rsidRPr="00B72EC2">
        <w:rPr>
          <w:sz w:val="20"/>
          <w:szCs w:val="20"/>
        </w:rPr>
        <w:t xml:space="preserve">, ungenutzte Prüfbögen sowie alle vom </w:t>
      </w:r>
      <w:r w:rsidR="00A7217C" w:rsidRPr="00B72EC2">
        <w:rPr>
          <w:sz w:val="20"/>
          <w:szCs w:val="20"/>
        </w:rPr>
        <w:t>Auftraggeber</w:t>
      </w:r>
      <w:r w:rsidRPr="00B72EC2">
        <w:rPr>
          <w:sz w:val="20"/>
          <w:szCs w:val="20"/>
        </w:rPr>
        <w:t xml:space="preserve"> bzw. von ihm beauftragter Dritter </w:t>
      </w:r>
      <w:r w:rsidRPr="00B72EC2">
        <w:rPr>
          <w:sz w:val="20"/>
          <w:szCs w:val="20"/>
        </w:rPr>
        <w:lastRenderedPageBreak/>
        <w:t xml:space="preserve">bereitgestellten Geräte und Materialien. Der </w:t>
      </w:r>
      <w:r w:rsidR="00A7217C" w:rsidRPr="00B72EC2">
        <w:rPr>
          <w:sz w:val="20"/>
          <w:szCs w:val="20"/>
        </w:rPr>
        <w:t>Auftraggeber</w:t>
      </w:r>
      <w:r w:rsidRPr="00B72EC2">
        <w:rPr>
          <w:sz w:val="20"/>
          <w:szCs w:val="20"/>
        </w:rPr>
        <w:t xml:space="preserve"> kann mit </w:t>
      </w:r>
      <w:r w:rsidR="00055ADC">
        <w:rPr>
          <w:sz w:val="20"/>
          <w:szCs w:val="20"/>
        </w:rPr>
        <w:t>dem Prüfzentrum</w:t>
      </w:r>
      <w:r w:rsidRPr="00B72EC2">
        <w:rPr>
          <w:sz w:val="20"/>
          <w:szCs w:val="20"/>
        </w:rPr>
        <w:t xml:space="preserve"> auch vereinbaren, dass einzelne Materialien am Prüfzentrum zu vernichten sind. In diesem Falle hat </w:t>
      </w:r>
      <w:r w:rsidR="00A7217C" w:rsidRPr="00B72EC2">
        <w:rPr>
          <w:sz w:val="20"/>
          <w:szCs w:val="20"/>
        </w:rPr>
        <w:t>das Prüfzentrum</w:t>
      </w:r>
      <w:r w:rsidRPr="00B72EC2">
        <w:rPr>
          <w:sz w:val="20"/>
          <w:szCs w:val="20"/>
        </w:rPr>
        <w:t xml:space="preserve"> die betroffenen Materialien gemäß den Vorgaben zu vernichten und einen Beleg/Dokumentation dazu zu führen. Der </w:t>
      </w:r>
      <w:r w:rsidR="00A7217C" w:rsidRPr="00B72EC2">
        <w:rPr>
          <w:sz w:val="20"/>
          <w:szCs w:val="20"/>
        </w:rPr>
        <w:t>Auftraggeber</w:t>
      </w:r>
      <w:r w:rsidRPr="00B72EC2">
        <w:rPr>
          <w:sz w:val="20"/>
          <w:szCs w:val="20"/>
        </w:rPr>
        <w:t xml:space="preserve"> kann im Einzelfall auch andere Vereinbarungen mit dem Prüfzentrum treffen.</w:t>
      </w:r>
    </w:p>
    <w:p w14:paraId="6580E540" w14:textId="77777777" w:rsidR="001F2B1B" w:rsidRPr="00B72EC2" w:rsidRDefault="001F2B1B" w:rsidP="00C70646">
      <w:pPr>
        <w:tabs>
          <w:tab w:val="left" w:pos="5238"/>
        </w:tabs>
        <w:jc w:val="both"/>
        <w:rPr>
          <w:sz w:val="20"/>
          <w:szCs w:val="20"/>
        </w:rPr>
      </w:pPr>
    </w:p>
    <w:p w14:paraId="1CE7B3C6" w14:textId="4FCC34AC" w:rsidR="001F2B1B" w:rsidRPr="00B72EC2" w:rsidRDefault="00BD5448" w:rsidP="00C70646">
      <w:pPr>
        <w:tabs>
          <w:tab w:val="left" w:pos="0"/>
        </w:tabs>
        <w:jc w:val="both"/>
        <w:rPr>
          <w:sz w:val="20"/>
          <w:szCs w:val="20"/>
          <w:u w:val="single"/>
        </w:rPr>
      </w:pPr>
      <w:r>
        <w:rPr>
          <w:sz w:val="20"/>
          <w:szCs w:val="20"/>
          <w:u w:val="single"/>
        </w:rPr>
        <w:t>10</w:t>
      </w:r>
      <w:r w:rsidR="001F2B1B" w:rsidRPr="00B72EC2">
        <w:rPr>
          <w:sz w:val="20"/>
          <w:szCs w:val="20"/>
          <w:u w:val="single"/>
        </w:rPr>
        <w:t>.</w:t>
      </w:r>
      <w:r w:rsidR="00AD588F" w:rsidRPr="00B72EC2">
        <w:rPr>
          <w:sz w:val="20"/>
          <w:szCs w:val="20"/>
          <w:u w:val="single"/>
        </w:rPr>
        <w:t>4</w:t>
      </w:r>
      <w:r w:rsidR="00C05BE4" w:rsidRPr="00B72EC2">
        <w:rPr>
          <w:sz w:val="20"/>
          <w:szCs w:val="20"/>
          <w:u w:val="single"/>
        </w:rPr>
        <w:tab/>
      </w:r>
      <w:r w:rsidR="001F2B1B" w:rsidRPr="00B72EC2">
        <w:rPr>
          <w:sz w:val="20"/>
          <w:szCs w:val="20"/>
          <w:u w:val="single"/>
        </w:rPr>
        <w:t xml:space="preserve">Fortbestehen von Verpflichtungen. </w:t>
      </w:r>
    </w:p>
    <w:p w14:paraId="7FE87F81" w14:textId="77777777" w:rsidR="001F2B1B" w:rsidRPr="00B72EC2" w:rsidRDefault="001F2B1B" w:rsidP="00C70646">
      <w:pPr>
        <w:tabs>
          <w:tab w:val="left" w:pos="5238"/>
        </w:tabs>
        <w:jc w:val="both"/>
        <w:rPr>
          <w:b/>
          <w:sz w:val="20"/>
          <w:szCs w:val="20"/>
        </w:rPr>
      </w:pPr>
    </w:p>
    <w:p w14:paraId="3CDF57A9" w14:textId="750FC2C7" w:rsidR="00B72EC2" w:rsidRDefault="001F2B1B" w:rsidP="00B72EC2">
      <w:pPr>
        <w:pStyle w:val="Listenabsatz"/>
        <w:numPr>
          <w:ilvl w:val="0"/>
          <w:numId w:val="17"/>
        </w:numPr>
        <w:tabs>
          <w:tab w:val="left" w:pos="5238"/>
        </w:tabs>
        <w:jc w:val="both"/>
        <w:rPr>
          <w:rFonts w:ascii="Verdana" w:hAnsi="Verdana"/>
          <w:sz w:val="20"/>
          <w:szCs w:val="20"/>
        </w:rPr>
      </w:pPr>
      <w:r w:rsidRPr="00B72EC2">
        <w:rPr>
          <w:rFonts w:ascii="Verdana" w:hAnsi="Verdana"/>
          <w:sz w:val="20"/>
          <w:szCs w:val="20"/>
        </w:rPr>
        <w:t xml:space="preserve">Bei einer vorzeitigen Beendigung des Vertrages unabhängig vom Grund der Kündigung enden lediglich die Verpflichtungen </w:t>
      </w:r>
      <w:r w:rsidR="00055ADC">
        <w:rPr>
          <w:rFonts w:ascii="Verdana" w:hAnsi="Verdana"/>
          <w:sz w:val="20"/>
          <w:szCs w:val="20"/>
        </w:rPr>
        <w:t>des Prüfzentrums</w:t>
      </w:r>
      <w:r w:rsidRPr="00B72EC2">
        <w:rPr>
          <w:rFonts w:ascii="Verdana" w:hAnsi="Verdana"/>
          <w:sz w:val="20"/>
          <w:szCs w:val="20"/>
        </w:rPr>
        <w:t xml:space="preserve"> zur weiteren Durchführung der klinischen Prüfung sowie die Verpflichtung des Auftraggebers zur </w:t>
      </w:r>
      <w:r w:rsidR="00BF62B2" w:rsidRPr="00B72EC2">
        <w:rPr>
          <w:rFonts w:ascii="Verdana" w:hAnsi="Verdana"/>
          <w:sz w:val="20"/>
          <w:szCs w:val="20"/>
        </w:rPr>
        <w:t>Zahlung der Vergütung</w:t>
      </w:r>
      <w:r w:rsidRPr="00B72EC2">
        <w:rPr>
          <w:rFonts w:ascii="Verdana" w:hAnsi="Verdana"/>
          <w:sz w:val="20"/>
          <w:szCs w:val="20"/>
        </w:rPr>
        <w:t xml:space="preserve">. </w:t>
      </w:r>
    </w:p>
    <w:p w14:paraId="38DF86FD" w14:textId="77777777" w:rsidR="00B72EC2" w:rsidRDefault="00B72EC2" w:rsidP="00B72EC2">
      <w:pPr>
        <w:pStyle w:val="Listenabsatz"/>
        <w:tabs>
          <w:tab w:val="left" w:pos="5238"/>
        </w:tabs>
        <w:jc w:val="both"/>
        <w:rPr>
          <w:rFonts w:ascii="Verdana" w:hAnsi="Verdana"/>
          <w:sz w:val="20"/>
          <w:szCs w:val="20"/>
        </w:rPr>
      </w:pPr>
    </w:p>
    <w:p w14:paraId="15706A22" w14:textId="09F31810" w:rsidR="001F2B1B" w:rsidRPr="00B72EC2" w:rsidRDefault="001F2B1B" w:rsidP="00B72EC2">
      <w:pPr>
        <w:pStyle w:val="Listenabsatz"/>
        <w:numPr>
          <w:ilvl w:val="0"/>
          <w:numId w:val="17"/>
        </w:numPr>
        <w:tabs>
          <w:tab w:val="left" w:pos="5238"/>
        </w:tabs>
        <w:jc w:val="both"/>
        <w:rPr>
          <w:rFonts w:ascii="Verdana" w:hAnsi="Verdana"/>
          <w:sz w:val="20"/>
          <w:szCs w:val="20"/>
        </w:rPr>
      </w:pPr>
      <w:r w:rsidRPr="00B72EC2">
        <w:rPr>
          <w:rFonts w:ascii="Verdana" w:hAnsi="Verdana"/>
          <w:sz w:val="20"/>
          <w:szCs w:val="20"/>
        </w:rPr>
        <w:t xml:space="preserve">Verpflichtungen in Bezug auf Finanzierung, vertrauliche Informationen, </w:t>
      </w:r>
      <w:r w:rsidR="00BF62B2" w:rsidRPr="00B72EC2">
        <w:rPr>
          <w:rFonts w:ascii="Verdana" w:hAnsi="Verdana"/>
          <w:iCs/>
          <w:sz w:val="20"/>
          <w:szCs w:val="20"/>
        </w:rPr>
        <w:t>Prüfungsdokumentation</w:t>
      </w:r>
      <w:r w:rsidRPr="00B72EC2">
        <w:rPr>
          <w:rFonts w:ascii="Verdana" w:hAnsi="Verdana"/>
          <w:sz w:val="20"/>
          <w:szCs w:val="20"/>
        </w:rPr>
        <w:t xml:space="preserve">, Erfindungen, Veröffentlichungen, vom </w:t>
      </w:r>
      <w:r w:rsidR="00A7217C" w:rsidRPr="00B72EC2">
        <w:rPr>
          <w:rFonts w:ascii="Verdana" w:hAnsi="Verdana"/>
          <w:sz w:val="20"/>
          <w:szCs w:val="20"/>
        </w:rPr>
        <w:t>Auftraggeber</w:t>
      </w:r>
      <w:r w:rsidRPr="00B72EC2">
        <w:rPr>
          <w:rFonts w:ascii="Verdana" w:hAnsi="Verdana"/>
          <w:sz w:val="20"/>
          <w:szCs w:val="20"/>
        </w:rPr>
        <w:t xml:space="preserve"> gebotene</w:t>
      </w:r>
      <w:r w:rsidR="00FE4D22" w:rsidRPr="00B72EC2">
        <w:rPr>
          <w:rFonts w:ascii="Verdana" w:hAnsi="Verdana"/>
          <w:sz w:val="20"/>
          <w:szCs w:val="20"/>
        </w:rPr>
        <w:t>r</w:t>
      </w:r>
      <w:r w:rsidRPr="00B72EC2">
        <w:rPr>
          <w:rFonts w:ascii="Verdana" w:hAnsi="Verdana"/>
          <w:sz w:val="20"/>
          <w:szCs w:val="20"/>
        </w:rPr>
        <w:t xml:space="preserve"> Versicherungsschutz, Eignung und Antikorruption bestehen auch nach Beendigung dieser Vereinbarung weiter</w:t>
      </w:r>
      <w:r w:rsidR="00024D09">
        <w:rPr>
          <w:rFonts w:ascii="Verdana" w:hAnsi="Verdana"/>
          <w:sz w:val="20"/>
          <w:szCs w:val="20"/>
        </w:rPr>
        <w:t>,</w:t>
      </w:r>
      <w:r w:rsidR="00024D09" w:rsidRPr="001F1B23">
        <w:t xml:space="preserve"> </w:t>
      </w:r>
      <w:r w:rsidR="00024D09" w:rsidRPr="001F1B23">
        <w:rPr>
          <w:rFonts w:ascii="Verdana" w:hAnsi="Verdana"/>
          <w:sz w:val="20"/>
          <w:szCs w:val="20"/>
        </w:rPr>
        <w:t>unabhängig von dem Grund der Beendigung</w:t>
      </w:r>
      <w:r w:rsidRPr="00B72EC2">
        <w:rPr>
          <w:rFonts w:ascii="Verdana" w:hAnsi="Verdana"/>
          <w:sz w:val="20"/>
          <w:szCs w:val="20"/>
        </w:rPr>
        <w:t>; dies gilt auch für alle sonstigen Bestimmungen in dieser Vereinbarung einschließlich Anlagen, die aufgrund ihrer Art und Absicht nach Ablauf der Vereinbarung weiter gelten.</w:t>
      </w:r>
    </w:p>
    <w:p w14:paraId="14A44DFB" w14:textId="77777777" w:rsidR="00AE236E" w:rsidRPr="00B72EC2" w:rsidRDefault="00AE236E" w:rsidP="00C70646">
      <w:pPr>
        <w:tabs>
          <w:tab w:val="left" w:pos="5238"/>
        </w:tabs>
        <w:jc w:val="both"/>
        <w:rPr>
          <w:sz w:val="20"/>
          <w:szCs w:val="20"/>
        </w:rPr>
      </w:pPr>
    </w:p>
    <w:p w14:paraId="7E504F6D" w14:textId="10F7CCDF" w:rsidR="00AE236E" w:rsidRPr="00235FAD" w:rsidRDefault="00BD5448" w:rsidP="00C70646">
      <w:pPr>
        <w:tabs>
          <w:tab w:val="left" w:pos="0"/>
        </w:tabs>
        <w:jc w:val="both"/>
        <w:rPr>
          <w:sz w:val="20"/>
          <w:szCs w:val="20"/>
          <w:u w:val="single"/>
        </w:rPr>
      </w:pPr>
      <w:r>
        <w:rPr>
          <w:sz w:val="20"/>
          <w:szCs w:val="20"/>
          <w:u w:val="single"/>
        </w:rPr>
        <w:t>10</w:t>
      </w:r>
      <w:r w:rsidR="00AE236E" w:rsidRPr="00235FAD">
        <w:rPr>
          <w:sz w:val="20"/>
          <w:szCs w:val="20"/>
          <w:u w:val="single"/>
        </w:rPr>
        <w:t xml:space="preserve">.5 </w:t>
      </w:r>
      <w:r w:rsidR="00C05BE4" w:rsidRPr="00235FAD">
        <w:rPr>
          <w:sz w:val="20"/>
          <w:szCs w:val="20"/>
          <w:u w:val="single"/>
        </w:rPr>
        <w:tab/>
      </w:r>
      <w:r w:rsidR="00AE236E" w:rsidRPr="00235FAD">
        <w:rPr>
          <w:sz w:val="20"/>
          <w:szCs w:val="20"/>
          <w:u w:val="single"/>
        </w:rPr>
        <w:t xml:space="preserve">Weiterbehandlung von </w:t>
      </w:r>
      <w:r w:rsidR="00014235" w:rsidRPr="00235FAD">
        <w:rPr>
          <w:sz w:val="20"/>
          <w:szCs w:val="20"/>
          <w:u w:val="single"/>
        </w:rPr>
        <w:t xml:space="preserve">bereits </w:t>
      </w:r>
      <w:r w:rsidR="00261262" w:rsidRPr="00235FAD">
        <w:rPr>
          <w:sz w:val="20"/>
          <w:szCs w:val="20"/>
          <w:u w:val="single"/>
        </w:rPr>
        <w:t>rekrutierten</w:t>
      </w:r>
      <w:r w:rsidR="00FE4D22">
        <w:rPr>
          <w:sz w:val="20"/>
          <w:szCs w:val="20"/>
          <w:u w:val="single"/>
        </w:rPr>
        <w:t xml:space="preserve"> </w:t>
      </w:r>
      <w:r w:rsidR="00AE236E" w:rsidRPr="00235FAD">
        <w:rPr>
          <w:sz w:val="20"/>
          <w:szCs w:val="20"/>
          <w:u w:val="single"/>
        </w:rPr>
        <w:t>Patienten</w:t>
      </w:r>
      <w:r w:rsidR="00014235" w:rsidRPr="00235FAD">
        <w:rPr>
          <w:sz w:val="20"/>
          <w:szCs w:val="20"/>
          <w:u w:val="single"/>
        </w:rPr>
        <w:t xml:space="preserve"> im Falle einer Kündigung</w:t>
      </w:r>
      <w:r w:rsidR="00FE4D22">
        <w:rPr>
          <w:sz w:val="20"/>
          <w:szCs w:val="20"/>
          <w:u w:val="single"/>
        </w:rPr>
        <w:t>.</w:t>
      </w:r>
    </w:p>
    <w:p w14:paraId="6A04001B" w14:textId="77777777" w:rsidR="001F2B1B" w:rsidRPr="00261262" w:rsidRDefault="001F2B1B" w:rsidP="00C70646">
      <w:pPr>
        <w:tabs>
          <w:tab w:val="left" w:pos="5238"/>
        </w:tabs>
        <w:jc w:val="both"/>
        <w:rPr>
          <w:sz w:val="20"/>
          <w:szCs w:val="20"/>
        </w:rPr>
      </w:pPr>
    </w:p>
    <w:p w14:paraId="36850139" w14:textId="05533C0A" w:rsidR="001F2B1B" w:rsidRDefault="00014235" w:rsidP="00C70646">
      <w:pPr>
        <w:tabs>
          <w:tab w:val="left" w:pos="5238"/>
        </w:tabs>
        <w:jc w:val="both"/>
        <w:rPr>
          <w:sz w:val="20"/>
          <w:szCs w:val="20"/>
        </w:rPr>
      </w:pPr>
      <w:r w:rsidRPr="00261262">
        <w:rPr>
          <w:sz w:val="20"/>
          <w:szCs w:val="20"/>
        </w:rPr>
        <w:t>Im Falle eine</w:t>
      </w:r>
      <w:r w:rsidR="005A2FB0">
        <w:rPr>
          <w:sz w:val="20"/>
          <w:szCs w:val="20"/>
        </w:rPr>
        <w:t>r</w:t>
      </w:r>
      <w:r w:rsidRPr="00261262">
        <w:rPr>
          <w:sz w:val="20"/>
          <w:szCs w:val="20"/>
        </w:rPr>
        <w:t xml:space="preserve"> Kündigung werden bereits eingeschlossene Patienten s</w:t>
      </w:r>
      <w:r w:rsidR="001F2B1B" w:rsidRPr="00261262">
        <w:rPr>
          <w:sz w:val="20"/>
          <w:szCs w:val="20"/>
        </w:rPr>
        <w:t xml:space="preserve">oweit möglich und sinnvoll </w:t>
      </w:r>
      <w:r w:rsidR="00AE236E" w:rsidRPr="00261262">
        <w:rPr>
          <w:sz w:val="20"/>
          <w:szCs w:val="20"/>
        </w:rPr>
        <w:t xml:space="preserve">durch </w:t>
      </w:r>
      <w:r w:rsidR="00055ADC">
        <w:rPr>
          <w:sz w:val="20"/>
          <w:szCs w:val="20"/>
        </w:rPr>
        <w:t>das Prüfze</w:t>
      </w:r>
      <w:r w:rsidR="007753CC">
        <w:rPr>
          <w:sz w:val="20"/>
          <w:szCs w:val="20"/>
        </w:rPr>
        <w:t>n</w:t>
      </w:r>
      <w:r w:rsidR="00055ADC">
        <w:rPr>
          <w:sz w:val="20"/>
          <w:szCs w:val="20"/>
        </w:rPr>
        <w:t>trum</w:t>
      </w:r>
      <w:r w:rsidR="00AE236E" w:rsidRPr="00261262">
        <w:rPr>
          <w:sz w:val="20"/>
          <w:szCs w:val="20"/>
        </w:rPr>
        <w:t xml:space="preserve"> mindestens nach den anerkannten medizinischen Standards weiterbehandelt.</w:t>
      </w:r>
    </w:p>
    <w:p w14:paraId="278CB363" w14:textId="77777777" w:rsidR="00014235" w:rsidRDefault="00014235" w:rsidP="00C70646">
      <w:pPr>
        <w:tabs>
          <w:tab w:val="left" w:pos="5238"/>
        </w:tabs>
        <w:jc w:val="both"/>
        <w:rPr>
          <w:sz w:val="20"/>
          <w:szCs w:val="20"/>
        </w:rPr>
      </w:pPr>
    </w:p>
    <w:p w14:paraId="5BCAA1F9" w14:textId="6F5CC49F" w:rsidR="00014235" w:rsidRPr="00F90FCB" w:rsidRDefault="00BD5448" w:rsidP="00C70646">
      <w:pPr>
        <w:tabs>
          <w:tab w:val="left" w:pos="0"/>
        </w:tabs>
        <w:jc w:val="both"/>
        <w:rPr>
          <w:sz w:val="20"/>
          <w:szCs w:val="20"/>
          <w:u w:val="single"/>
        </w:rPr>
      </w:pPr>
      <w:r>
        <w:rPr>
          <w:sz w:val="20"/>
          <w:szCs w:val="20"/>
          <w:u w:val="single"/>
        </w:rPr>
        <w:t>10</w:t>
      </w:r>
      <w:r w:rsidR="00014235" w:rsidRPr="00F90FCB">
        <w:rPr>
          <w:sz w:val="20"/>
          <w:szCs w:val="20"/>
          <w:u w:val="single"/>
        </w:rPr>
        <w:t xml:space="preserve">.6 </w:t>
      </w:r>
      <w:r w:rsidR="00235FAD" w:rsidRPr="00F90FCB">
        <w:rPr>
          <w:sz w:val="20"/>
          <w:szCs w:val="20"/>
          <w:u w:val="single"/>
        </w:rPr>
        <w:tab/>
      </w:r>
      <w:r w:rsidR="00014235" w:rsidRPr="00F90FCB">
        <w:rPr>
          <w:sz w:val="20"/>
          <w:szCs w:val="20"/>
          <w:u w:val="single"/>
        </w:rPr>
        <w:t>Folgen für die Rekrutierung</w:t>
      </w:r>
      <w:r w:rsidR="00FE4D22">
        <w:rPr>
          <w:sz w:val="20"/>
          <w:szCs w:val="20"/>
          <w:u w:val="single"/>
        </w:rPr>
        <w:t>.</w:t>
      </w:r>
    </w:p>
    <w:p w14:paraId="07B4B277" w14:textId="77777777" w:rsidR="00014235" w:rsidRPr="00F90FCB" w:rsidRDefault="00014235" w:rsidP="00C70646">
      <w:pPr>
        <w:tabs>
          <w:tab w:val="left" w:pos="5238"/>
        </w:tabs>
        <w:jc w:val="both"/>
        <w:rPr>
          <w:sz w:val="20"/>
          <w:szCs w:val="20"/>
          <w:u w:val="single"/>
        </w:rPr>
      </w:pPr>
    </w:p>
    <w:p w14:paraId="4FA3976C" w14:textId="43A52B22" w:rsidR="00845A31" w:rsidRPr="00C1362D" w:rsidRDefault="00D057B9" w:rsidP="00AF0D1E">
      <w:pPr>
        <w:tabs>
          <w:tab w:val="left" w:pos="5238"/>
        </w:tabs>
        <w:jc w:val="both"/>
        <w:rPr>
          <w:sz w:val="20"/>
          <w:szCs w:val="20"/>
        </w:rPr>
      </w:pPr>
      <w:r w:rsidRPr="00F90FCB">
        <w:rPr>
          <w:sz w:val="20"/>
          <w:szCs w:val="20"/>
        </w:rPr>
        <w:t xml:space="preserve">Sobald </w:t>
      </w:r>
      <w:r w:rsidR="00055ADC">
        <w:rPr>
          <w:sz w:val="20"/>
          <w:szCs w:val="20"/>
        </w:rPr>
        <w:t>dem Prüfzentrum</w:t>
      </w:r>
      <w:r w:rsidRPr="00F90FCB">
        <w:rPr>
          <w:sz w:val="20"/>
          <w:szCs w:val="20"/>
        </w:rPr>
        <w:t xml:space="preserve"> eine Kündigung zugegangen ist oder </w:t>
      </w:r>
      <w:r w:rsidR="00055ADC">
        <w:rPr>
          <w:sz w:val="20"/>
          <w:szCs w:val="20"/>
        </w:rPr>
        <w:t>es</w:t>
      </w:r>
      <w:r w:rsidRPr="00F90FCB">
        <w:rPr>
          <w:sz w:val="20"/>
          <w:szCs w:val="20"/>
        </w:rPr>
        <w:t xml:space="preserve"> selbst eine Kündigungserklärung abgegeben hat, wird </w:t>
      </w:r>
      <w:r w:rsidR="00A7217C">
        <w:rPr>
          <w:sz w:val="20"/>
          <w:szCs w:val="20"/>
        </w:rPr>
        <w:t>das Prüfzentrum</w:t>
      </w:r>
      <w:r w:rsidRPr="00F90FCB">
        <w:rPr>
          <w:sz w:val="20"/>
          <w:szCs w:val="20"/>
        </w:rPr>
        <w:t xml:space="preserve"> keine weiteren Prüfungsteilnehmer mehr für</w:t>
      </w:r>
      <w:r w:rsidR="00014235" w:rsidRPr="00F90FCB">
        <w:rPr>
          <w:sz w:val="20"/>
          <w:szCs w:val="20"/>
        </w:rPr>
        <w:t xml:space="preserve"> die betreffende klinische Prüfung </w:t>
      </w:r>
      <w:r w:rsidRPr="00F90FCB">
        <w:rPr>
          <w:sz w:val="20"/>
          <w:szCs w:val="20"/>
        </w:rPr>
        <w:t>rekrutieren und/oder in die Prüfung neu einschließen</w:t>
      </w:r>
      <w:r w:rsidR="00014235" w:rsidRPr="00F90FCB">
        <w:rPr>
          <w:sz w:val="20"/>
          <w:szCs w:val="20"/>
        </w:rPr>
        <w:t>.</w:t>
      </w:r>
    </w:p>
    <w:sectPr w:rsidR="00845A31" w:rsidRPr="00C1362D" w:rsidSect="00B050E9">
      <w:headerReference w:type="first" r:id="rId12"/>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CF12E" w14:textId="77777777" w:rsidR="00E67FC3" w:rsidRDefault="00E67FC3" w:rsidP="009A2D52">
      <w:r>
        <w:separator/>
      </w:r>
    </w:p>
  </w:endnote>
  <w:endnote w:type="continuationSeparator" w:id="0">
    <w:p w14:paraId="2BBDE115" w14:textId="77777777" w:rsidR="00E67FC3" w:rsidRDefault="00E67FC3" w:rsidP="009A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97412" w14:textId="77777777" w:rsidR="00E67FC3" w:rsidRDefault="00E67FC3" w:rsidP="009A2D52">
      <w:r>
        <w:separator/>
      </w:r>
    </w:p>
  </w:footnote>
  <w:footnote w:type="continuationSeparator" w:id="0">
    <w:p w14:paraId="2E8FCD7F" w14:textId="77777777" w:rsidR="00E67FC3" w:rsidRDefault="00E67FC3" w:rsidP="009A2D52">
      <w:r>
        <w:continuationSeparator/>
      </w:r>
    </w:p>
  </w:footnote>
  <w:footnote w:id="1">
    <w:p w14:paraId="5F4C2981" w14:textId="317A27B1" w:rsidR="0008564F" w:rsidRPr="001B6494" w:rsidRDefault="0008564F">
      <w:pPr>
        <w:pStyle w:val="Funotentext"/>
        <w:rPr>
          <w:rFonts w:asciiTheme="minorHAnsi" w:hAnsiTheme="minorHAnsi" w:cstheme="minorHAnsi"/>
          <w:i/>
        </w:rPr>
      </w:pPr>
      <w:r w:rsidRPr="001B6494">
        <w:rPr>
          <w:rStyle w:val="Funotenzeichen"/>
          <w:rFonts w:asciiTheme="minorHAnsi" w:hAnsiTheme="minorHAnsi" w:cstheme="minorHAnsi"/>
          <w:i/>
        </w:rPr>
        <w:footnoteRef/>
      </w:r>
      <w:r w:rsidRPr="001B6494">
        <w:rPr>
          <w:rFonts w:asciiTheme="minorHAnsi" w:hAnsiTheme="minorHAnsi" w:cstheme="minorHAnsi"/>
          <w:i/>
        </w:rPr>
        <w:t xml:space="preserve"> </w:t>
      </w:r>
      <w:r w:rsidRPr="007E6D9A">
        <w:rPr>
          <w:rFonts w:asciiTheme="minorHAnsi" w:hAnsiTheme="minorHAnsi" w:cstheme="minorHAnsi"/>
          <w:i/>
        </w:rPr>
        <w:t>Im Einzelfall können standortspezifische Besonderheiten der Prüfzentren zu berücksichtigen sein. Daher bietet sich im Einzelfall eine differenzierte Betrachtung der unterschiedlichen Anstellungskörperschaften der Beschäftigten an, um die Vertragspflichten der beteiligten Prüfärzte korrekt abzubilden.</w:t>
      </w:r>
      <w:r w:rsidRPr="001B6494">
        <w:rPr>
          <w:rFonts w:asciiTheme="minorHAnsi" w:hAnsiTheme="minorHAnsi" w:cstheme="minorHAnsi"/>
          <w:i/>
        </w:rPr>
        <w:t xml:space="preserve"> </w:t>
      </w:r>
    </w:p>
  </w:footnote>
  <w:footnote w:id="2">
    <w:p w14:paraId="3A80D84E" w14:textId="0DD28000" w:rsidR="00B050E9" w:rsidRDefault="00B050E9" w:rsidP="00B050E9">
      <w:pPr>
        <w:pStyle w:val="Funotentext"/>
        <w:rPr>
          <w:sz w:val="18"/>
          <w:szCs w:val="18"/>
        </w:rPr>
      </w:pPr>
      <w:r>
        <w:rPr>
          <w:rStyle w:val="Funotenzeichen"/>
        </w:rPr>
        <w:footnoteRef/>
      </w:r>
      <w:r>
        <w:t xml:space="preserve"> </w:t>
      </w:r>
      <w:r w:rsidRPr="00DD26DB">
        <w:rPr>
          <w:sz w:val="18"/>
          <w:szCs w:val="18"/>
        </w:rPr>
        <w:t xml:space="preserve">Es ist davon auszugehen, dass in der Regel keine Erfindungen im Rahmen der vertragsgemäßen Durchführung der klinischen Prüfung von den Mitarbeitern des Prüfzentrums oder anderen, vom Prüfzentrum im Zusammenhang mit der Durchführung der klinischen Prüfung beauftragten Parteien gemacht werden. Durch die gewählte Übertragungsoption wird sichergestellt, dass der </w:t>
      </w:r>
      <w:r w:rsidR="00FE7E99">
        <w:rPr>
          <w:sz w:val="18"/>
          <w:szCs w:val="18"/>
        </w:rPr>
        <w:t>Auftraggeber</w:t>
      </w:r>
      <w:r w:rsidRPr="00DD26DB">
        <w:rPr>
          <w:sz w:val="18"/>
          <w:szCs w:val="18"/>
        </w:rPr>
        <w:t xml:space="preserve"> stets vollen Zugriff auf sämtliche das geprüfte Produkt betreffende Erfindungen hat, unabhängig davon, ob diese im Rahmen der vertraglich geschuldeten klinischen Prüfung oder jenseits dieser geschuldeten Leistung gemacht wurden. Durch die Festschreibung eines marktüblichen Entgeltes wird die Vereinbarkeit mit dem Unionsrahmen auch dort sichergestellt, wo die erfinderischen Beiträge außerhalb der vertragsgegenständlichen Leistungen liegen. Aufgrund der gleichzeitigen Berücksichtigung der Erfindungsbeiträge aller Beteiligten und der Umstände deren Zustandekommens, wird eine Doppelvergütung vermieden. Gleichzeitig besteht die Option für sämtliche erfinderischen Beiträge im patentrechtlichen Sinne, so dass für die Frage des Ob des Zugriffs des </w:t>
      </w:r>
      <w:r w:rsidR="00FE7E99">
        <w:rPr>
          <w:sz w:val="18"/>
          <w:szCs w:val="18"/>
        </w:rPr>
        <w:t>Auftraggeber</w:t>
      </w:r>
      <w:r w:rsidRPr="00DD26DB">
        <w:rPr>
          <w:sz w:val="18"/>
          <w:szCs w:val="18"/>
        </w:rPr>
        <w:t>s nicht zunächst über die unspezifische und gegebenenfalls strittige Frage zu entscheiden ist, ob ein erfinderischer Beitrag der vertraglich geschuldeten Leistung zuzuordnen ist oder darüber hinaus geht.</w:t>
      </w:r>
    </w:p>
    <w:p w14:paraId="7BF70BD6" w14:textId="77777777" w:rsidR="00B050E9" w:rsidRPr="00DD26DB" w:rsidRDefault="00B050E9" w:rsidP="00B050E9">
      <w:pPr>
        <w:pStyle w:val="Funotentext"/>
        <w:rPr>
          <w:sz w:val="18"/>
          <w:szCs w:val="18"/>
        </w:rPr>
      </w:pPr>
    </w:p>
  </w:footnote>
  <w:footnote w:id="3">
    <w:p w14:paraId="4F8E1956" w14:textId="77777777" w:rsidR="00B050E9" w:rsidRPr="00346F54" w:rsidRDefault="00B050E9" w:rsidP="00B050E9">
      <w:pPr>
        <w:pStyle w:val="Funotentext"/>
        <w:rPr>
          <w:i/>
          <w:iCs/>
          <w:sz w:val="18"/>
          <w:szCs w:val="18"/>
        </w:rPr>
      </w:pPr>
      <w:r>
        <w:rPr>
          <w:rStyle w:val="Funotenzeichen"/>
        </w:rPr>
        <w:footnoteRef/>
      </w:r>
      <w:r>
        <w:t xml:space="preserve"> </w:t>
      </w:r>
      <w:r w:rsidRPr="00346F54">
        <w:rPr>
          <w:sz w:val="18"/>
          <w:szCs w:val="18"/>
        </w:rPr>
        <w:t xml:space="preserve">Basierend auf den </w:t>
      </w:r>
      <w:r w:rsidRPr="00346F54">
        <w:rPr>
          <w:i/>
          <w:iCs/>
          <w:sz w:val="18"/>
          <w:szCs w:val="18"/>
        </w:rPr>
        <w:t>Richtlinien, für die Vergütung von Arbeitnehmererfindungen</w:t>
      </w:r>
    </w:p>
    <w:p w14:paraId="196ED72E" w14:textId="77777777" w:rsidR="00B050E9" w:rsidRPr="00346F54" w:rsidRDefault="00B050E9" w:rsidP="00B050E9">
      <w:pPr>
        <w:pStyle w:val="Funotentext"/>
        <w:rPr>
          <w:sz w:val="18"/>
          <w:szCs w:val="18"/>
        </w:rPr>
      </w:pPr>
      <w:r w:rsidRPr="00346F54">
        <w:rPr>
          <w:i/>
          <w:iCs/>
          <w:sz w:val="18"/>
          <w:szCs w:val="18"/>
        </w:rPr>
        <w:t>im privaten Dienst</w:t>
      </w:r>
      <w:r w:rsidRPr="00346F54">
        <w:rPr>
          <w:sz w:val="18"/>
          <w:szCs w:val="18"/>
        </w:rPr>
        <w:t xml:space="preserve">, abrufbar unter </w:t>
      </w:r>
      <w:hyperlink r:id="rId1" w:history="1">
        <w:r w:rsidRPr="000B4916">
          <w:rPr>
            <w:rStyle w:val="Hyperlink"/>
            <w:sz w:val="18"/>
            <w:szCs w:val="18"/>
          </w:rPr>
          <w:t>https://www.dpma.de/docs/dpma/richtlinienfuerdieverguetungvonarbeitnehmererfindungen.pdf</w:t>
        </w:r>
      </w:hyperlink>
      <w:r>
        <w:rPr>
          <w:sz w:val="18"/>
          <w:szCs w:val="18"/>
        </w:rPr>
        <w:t xml:space="preserve"> </w:t>
      </w:r>
    </w:p>
  </w:footnote>
  <w:footnote w:id="4">
    <w:p w14:paraId="4C41B882" w14:textId="77777777" w:rsidR="00B050E9" w:rsidRPr="00DD26DB" w:rsidRDefault="00B050E9" w:rsidP="00B050E9">
      <w:pPr>
        <w:jc w:val="both"/>
        <w:rPr>
          <w:sz w:val="18"/>
          <w:szCs w:val="18"/>
        </w:rPr>
      </w:pPr>
      <w:r w:rsidRPr="00DD26DB">
        <w:rPr>
          <w:rStyle w:val="Funotenzeichen"/>
          <w:i/>
          <w:iCs/>
          <w:sz w:val="18"/>
          <w:szCs w:val="18"/>
        </w:rPr>
        <w:footnoteRef/>
      </w:r>
      <w:r w:rsidRPr="00DD26DB">
        <w:rPr>
          <w:sz w:val="18"/>
          <w:szCs w:val="18"/>
        </w:rPr>
        <w:t xml:space="preserve"> Im Falle der Vergütung in Form einer Einmalzahlung greifen die Vertragsparteien auf folgende Regelung zurück:</w:t>
      </w:r>
    </w:p>
    <w:p w14:paraId="105020EE" w14:textId="5B060950" w:rsidR="00B050E9" w:rsidRPr="00DD26DB" w:rsidRDefault="00B050E9" w:rsidP="00B050E9">
      <w:pPr>
        <w:jc w:val="both"/>
        <w:rPr>
          <w:i/>
          <w:iCs/>
          <w:sz w:val="18"/>
          <w:szCs w:val="18"/>
        </w:rPr>
      </w:pPr>
      <w:r w:rsidRPr="00DD26DB">
        <w:rPr>
          <w:i/>
          <w:iCs/>
          <w:sz w:val="18"/>
          <w:szCs w:val="18"/>
        </w:rPr>
        <w:t xml:space="preserve">Der </w:t>
      </w:r>
      <w:r w:rsidR="00FE7E99">
        <w:rPr>
          <w:i/>
          <w:iCs/>
          <w:sz w:val="18"/>
          <w:szCs w:val="18"/>
        </w:rPr>
        <w:t>Auftraggeber</w:t>
      </w:r>
      <w:r w:rsidRPr="00DD26DB">
        <w:rPr>
          <w:i/>
          <w:iCs/>
          <w:sz w:val="18"/>
          <w:szCs w:val="18"/>
        </w:rPr>
        <w:t xml:space="preserve"> wird als Gegenleistung für die Übertragung der Rechte innerhalb von […] Tagen nach der Übertragung eine Vergütung in Höhe von […€] zuzüglich etwaiger Umsatzsteuer an das Prüfzentrum leisten. Im Falle der Erteilung eines Schutzrechtes an den </w:t>
      </w:r>
      <w:r w:rsidR="00FE7E99">
        <w:rPr>
          <w:i/>
          <w:iCs/>
          <w:sz w:val="18"/>
          <w:szCs w:val="18"/>
        </w:rPr>
        <w:t>Auftraggeber</w:t>
      </w:r>
      <w:r w:rsidRPr="00DD26DB">
        <w:rPr>
          <w:i/>
          <w:iCs/>
          <w:sz w:val="18"/>
          <w:szCs w:val="18"/>
        </w:rPr>
        <w:t xml:space="preserve"> oder an vom </w:t>
      </w:r>
      <w:r w:rsidR="00FE7E99">
        <w:rPr>
          <w:i/>
          <w:iCs/>
          <w:sz w:val="18"/>
          <w:szCs w:val="18"/>
        </w:rPr>
        <w:t>Auftraggeber</w:t>
      </w:r>
      <w:r w:rsidRPr="00DD26DB">
        <w:rPr>
          <w:i/>
          <w:iCs/>
          <w:sz w:val="18"/>
          <w:szCs w:val="18"/>
        </w:rPr>
        <w:t xml:space="preserve"> ermächtigte Dritte leistet der </w:t>
      </w:r>
      <w:r w:rsidR="00FE7E99">
        <w:rPr>
          <w:i/>
          <w:iCs/>
          <w:sz w:val="18"/>
          <w:szCs w:val="18"/>
        </w:rPr>
        <w:t>Auftraggeber</w:t>
      </w:r>
      <w:r w:rsidRPr="00DD26DB">
        <w:rPr>
          <w:i/>
          <w:iCs/>
          <w:sz w:val="18"/>
          <w:szCs w:val="18"/>
        </w:rPr>
        <w:t xml:space="preserve"> eine weitere Zahlung in Höhe von […€] zuzüglich etwaiger Umsatzsteuer an das Prüfzentrum. Bei Vorliegen einer Kalkulationsgrundlage und im Falle grober Unbilligkeit kann in beiderseitigem Einvernehmen über eine nachträgliche Erhöhung der Einmalzahlung erneut verhandelt werden.</w:t>
      </w:r>
    </w:p>
  </w:footnote>
  <w:footnote w:id="5">
    <w:p w14:paraId="6D0C0BCC" w14:textId="77777777" w:rsidR="00B050E9" w:rsidRPr="00DD26DB" w:rsidRDefault="00B050E9" w:rsidP="00B050E9">
      <w:pPr>
        <w:pStyle w:val="Funotentext"/>
        <w:rPr>
          <w:sz w:val="18"/>
          <w:szCs w:val="18"/>
        </w:rPr>
      </w:pPr>
      <w:r w:rsidRPr="008173D9">
        <w:rPr>
          <w:rStyle w:val="Funotenzeichen"/>
          <w:sz w:val="18"/>
          <w:szCs w:val="18"/>
        </w:rPr>
        <w:footnoteRef/>
      </w:r>
      <w:r w:rsidRPr="008173D9">
        <w:rPr>
          <w:sz w:val="18"/>
          <w:szCs w:val="18"/>
        </w:rPr>
        <w:t xml:space="preserve"> Ein Vorschlag für eine </w:t>
      </w:r>
      <w:r w:rsidRPr="008173D9">
        <w:rPr>
          <w:sz w:val="18"/>
          <w:szCs w:val="18"/>
          <w:u w:val="single"/>
        </w:rPr>
        <w:t>Mediationsklausel</w:t>
      </w:r>
      <w:r w:rsidRPr="008173D9">
        <w:rPr>
          <w:sz w:val="18"/>
          <w:szCs w:val="18"/>
        </w:rPr>
        <w:t xml:space="preserve"> ist:</w:t>
      </w:r>
    </w:p>
    <w:p w14:paraId="022D79F0" w14:textId="77777777" w:rsidR="00B050E9" w:rsidRDefault="00B050E9" w:rsidP="00B050E9">
      <w:pPr>
        <w:pStyle w:val="Funotentext"/>
        <w:rPr>
          <w:i/>
          <w:iCs/>
          <w:sz w:val="18"/>
          <w:szCs w:val="18"/>
        </w:rPr>
      </w:pPr>
    </w:p>
    <w:p w14:paraId="25ABA429" w14:textId="37624EF9" w:rsidR="00B050E9" w:rsidRPr="008173D9" w:rsidRDefault="00B050E9" w:rsidP="00B050E9">
      <w:pPr>
        <w:pStyle w:val="Funotentext"/>
        <w:rPr>
          <w:i/>
          <w:iCs/>
          <w:sz w:val="18"/>
          <w:szCs w:val="18"/>
        </w:rPr>
      </w:pPr>
      <w:r w:rsidRPr="008173D9">
        <w:rPr>
          <w:i/>
          <w:iCs/>
          <w:sz w:val="18"/>
          <w:szCs w:val="18"/>
        </w:rPr>
        <w:t xml:space="preserve">Sollten sich die Parteien nicht innerhalb eines Zeitraumes von sechs Monaten ab Ausübung einer Option durch den </w:t>
      </w:r>
      <w:r w:rsidR="00FE7E99">
        <w:rPr>
          <w:i/>
          <w:iCs/>
          <w:sz w:val="18"/>
          <w:szCs w:val="18"/>
        </w:rPr>
        <w:t>Auftraggeber</w:t>
      </w:r>
      <w:r w:rsidRPr="008173D9">
        <w:rPr>
          <w:i/>
          <w:iCs/>
          <w:sz w:val="18"/>
          <w:szCs w:val="18"/>
        </w:rPr>
        <w:t xml:space="preserve"> über die Höhe eines angemessenen Entgeltes einigen können, werden die Parteien auf schriftlichen Antrag einer Partei ein Mediationsverfahren durchführen. Der Ort des Mediationsverfahrens soll […] sein. Verfahrenssprache soll Deutsch sein.</w:t>
      </w:r>
    </w:p>
    <w:p w14:paraId="44C586AC" w14:textId="77777777" w:rsidR="00B050E9" w:rsidRDefault="00B050E9" w:rsidP="00B050E9">
      <w:pPr>
        <w:pStyle w:val="Funotentext"/>
        <w:rPr>
          <w:sz w:val="18"/>
          <w:szCs w:val="18"/>
        </w:rPr>
      </w:pPr>
    </w:p>
    <w:p w14:paraId="68CC53CA" w14:textId="77777777" w:rsidR="00B050E9" w:rsidRPr="00DD26DB" w:rsidRDefault="00B050E9" w:rsidP="00B050E9">
      <w:pPr>
        <w:pStyle w:val="Funotentext"/>
        <w:rPr>
          <w:sz w:val="18"/>
          <w:szCs w:val="18"/>
        </w:rPr>
      </w:pPr>
      <w:r w:rsidRPr="00DD26DB">
        <w:rPr>
          <w:sz w:val="18"/>
          <w:szCs w:val="18"/>
        </w:rPr>
        <w:t xml:space="preserve">Zusätzlich können die Parteien bei der Vereinbarung über die Mediation auch eine Anschlussregelung treffen für den Fall, dass die Mediation nicht erfolgreich sein sollte. Auch hier empfiehlt sich für die Frage der Höhe der Vergütung ein außergerichtliches Schiedsverfahren bei einer Fachinstitution. Ein Vorschlag für eine </w:t>
      </w:r>
      <w:r w:rsidRPr="008173D9">
        <w:rPr>
          <w:sz w:val="18"/>
          <w:szCs w:val="18"/>
          <w:u w:val="single"/>
        </w:rPr>
        <w:t xml:space="preserve">Schiedsklausel </w:t>
      </w:r>
      <w:r w:rsidRPr="00DD26DB">
        <w:rPr>
          <w:sz w:val="18"/>
          <w:szCs w:val="18"/>
        </w:rPr>
        <w:t>ist:</w:t>
      </w:r>
    </w:p>
    <w:p w14:paraId="01B76E63" w14:textId="77777777" w:rsidR="00B050E9" w:rsidRDefault="00B050E9" w:rsidP="00B050E9">
      <w:pPr>
        <w:pStyle w:val="Funotentext"/>
        <w:rPr>
          <w:sz w:val="18"/>
          <w:szCs w:val="18"/>
        </w:rPr>
      </w:pPr>
    </w:p>
    <w:p w14:paraId="7512850F" w14:textId="77777777" w:rsidR="00B050E9" w:rsidRDefault="00B050E9" w:rsidP="00B050E9">
      <w:pPr>
        <w:pStyle w:val="Funotentext"/>
        <w:rPr>
          <w:i/>
          <w:iCs/>
          <w:sz w:val="18"/>
          <w:szCs w:val="18"/>
        </w:rPr>
      </w:pPr>
      <w:r w:rsidRPr="008173D9">
        <w:rPr>
          <w:i/>
          <w:iCs/>
          <w:sz w:val="18"/>
          <w:szCs w:val="18"/>
        </w:rPr>
        <w:t>Sofern über die Höhe des angemessenen Entgeltes nicht innerhalb von sechzig (60) Tagen nach Beginn des Mediationsverfahrens und im Rahmen des Mediationsverfahrens Einigkeit erzielt werden kann, ist die Bemessung des angemessenen Entgeltes durch Einreichung eines Schiedsantrags durch einen Vertragspartner gemäß den Regeln für das Schiedsgerichtsverfahren der WIPO dem Schiedsgerichtsverfahren zu unterwerfen und endgültig im Schiedsgerichtsverfahren zu entscheiden. Alternativ soll, wenn vor Ablauf der genannten Frist von sechzig (60) Tagen ein Vertragspartner versäumt, sich an dem Mediationsverfahren zu beteiligen, oder nicht mehr an dem Mediationsverfahren teilnimmt, die Bemessung des angemessenen Entgeltes nach Maßgabe dieses Vertrages durch Einreichung eines Schiedsantrags durch den anderen Vertragspartner gemäß den Regeln für das Schiedsgerichtsverfahren der WIPO dem Schiedsgerichtsverfahren unterworfen und endgültig im Schiedsgerichtsverfahren entschieden werden. Das Schiedsgericht wird aus drei Schiedsrichtern bestehen. Der Ort des Schiedsgerichtsverfahrens wird […] sein. In dem Schiedsgerichtsverfahren soll die Verfahrenssprache Deutsch sein. Die Bestimmung des angemessenen Entgeltes soll unter Anwendung deutschen Rechts nach Maßgabe der Regelungen dieses Vertrages entschieden werden.</w:t>
      </w:r>
    </w:p>
    <w:p w14:paraId="62877A06" w14:textId="77777777" w:rsidR="00B050E9" w:rsidRPr="008173D9" w:rsidRDefault="00B050E9" w:rsidP="00B050E9">
      <w:pPr>
        <w:pStyle w:val="Funotentext"/>
        <w:rPr>
          <w:i/>
          <w:iCs/>
          <w:sz w:val="18"/>
          <w:szCs w:val="18"/>
        </w:rPr>
      </w:pPr>
    </w:p>
  </w:footnote>
  <w:footnote w:id="6">
    <w:p w14:paraId="02612667" w14:textId="77777777" w:rsidR="00B050E9" w:rsidRPr="006C586B" w:rsidRDefault="00B050E9" w:rsidP="00B050E9">
      <w:pPr>
        <w:pStyle w:val="Funotentext"/>
        <w:rPr>
          <w:sz w:val="18"/>
          <w:szCs w:val="18"/>
        </w:rPr>
      </w:pPr>
      <w:r w:rsidRPr="006C586B">
        <w:rPr>
          <w:rStyle w:val="Funotenzeichen"/>
          <w:sz w:val="18"/>
          <w:szCs w:val="18"/>
        </w:rPr>
        <w:footnoteRef/>
      </w:r>
      <w:r w:rsidRPr="006C586B">
        <w:rPr>
          <w:sz w:val="18"/>
          <w:szCs w:val="18"/>
        </w:rPr>
        <w:t xml:space="preserve"> Typischerweise wäre bei einem Drei-Parteien-Vertrag </w:t>
      </w:r>
      <w:r w:rsidRPr="006C586B">
        <w:rPr>
          <w:rFonts w:cs="Arial"/>
          <w:sz w:val="18"/>
          <w:szCs w:val="18"/>
        </w:rPr>
        <w:t>ein Verzicht auf das negative Publikationsrecht gemäß § 42 Nr. 2 Arbeitnehmererfindungsgesetz (ArbnErfG) des Prüfers / Prüfarztes gegenüber dem Auftraggeber hier einzufügen.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205FE" w14:textId="1B366711" w:rsidR="00B050E9" w:rsidRDefault="00B050E9" w:rsidP="00EF06B5">
    <w:pPr>
      <w:pStyle w:val="Kopfzeile"/>
    </w:pPr>
  </w:p>
  <w:p w14:paraId="23810F3B" w14:textId="6326FF92" w:rsidR="00B050E9" w:rsidRDefault="00EF06B5" w:rsidP="0091456B">
    <w:pPr>
      <w:pStyle w:val="Kopfzeile"/>
      <w:spacing w:after="120"/>
    </w:pPr>
    <w:r>
      <w:rPr>
        <w:noProof/>
      </w:rPr>
      <w:drawing>
        <wp:inline distT="0" distB="0" distL="0" distR="0" wp14:anchorId="0E38FCCF" wp14:editId="0563AEF2">
          <wp:extent cx="1724025" cy="483372"/>
          <wp:effectExtent l="0" t="0" r="0" b="0"/>
          <wp:docPr id="1314564920" name="Grafik 1314564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996159" name="Grafik 6"/>
                  <pic:cNvPicPr>
                    <a:picLocks noChangeAspect="1" noChangeArrowheads="1"/>
                  </pic:cNvPicPr>
                </pic:nvPicPr>
                <pic:blipFill rotWithShape="1">
                  <a:blip r:embed="rId1">
                    <a:extLst>
                      <a:ext uri="{28A0092B-C50C-407E-A947-70E740481C1C}">
                        <a14:useLocalDpi xmlns:a14="http://schemas.microsoft.com/office/drawing/2010/main" val="0"/>
                      </a:ext>
                    </a:extLst>
                  </a:blip>
                  <a:srcRect t="2" b="-41491"/>
                  <a:stretch/>
                </pic:blipFill>
                <pic:spPr bwMode="auto">
                  <a:xfrm>
                    <a:off x="0" y="0"/>
                    <a:ext cx="1760009" cy="493461"/>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sidR="0091456B">
      <w:rPr>
        <w:noProof/>
      </w:rPr>
      <w:t xml:space="preserve"> </w:t>
    </w:r>
    <w:r>
      <w:rPr>
        <w:noProof/>
      </w:rPr>
      <w:t xml:space="preserve"> </w:t>
    </w:r>
    <w:r>
      <w:rPr>
        <w:noProof/>
      </w:rPr>
      <w:drawing>
        <wp:inline distT="0" distB="0" distL="0" distR="0" wp14:anchorId="14BE8A4C" wp14:editId="1C248D42">
          <wp:extent cx="1885950" cy="903431"/>
          <wp:effectExtent l="0" t="0" r="0" b="0"/>
          <wp:docPr id="899464977" name="Grafik 899464977" descr="Ein Bild, das Text, Screenshot, Schrift, Visiten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794237" name="Grafik 4" descr="Ein Bild, das Text, Screenshot, Schrift, Visitenkarte enthält.&#10;&#10;Automatisch generierte Beschreibung"/>
                  <pic:cNvPicPr>
                    <a:picLocks noChangeAspect="1" noChangeArrowheads="1"/>
                  </pic:cNvPicPr>
                </pic:nvPicPr>
                <pic:blipFill rotWithShape="1">
                  <a:blip r:embed="rId2">
                    <a:extLst>
                      <a:ext uri="{28A0092B-C50C-407E-A947-70E740481C1C}">
                        <a14:useLocalDpi xmlns:a14="http://schemas.microsoft.com/office/drawing/2010/main" val="0"/>
                      </a:ext>
                    </a:extLst>
                  </a:blip>
                  <a:srcRect t="1350" b="13566"/>
                  <a:stretch/>
                </pic:blipFill>
                <pic:spPr bwMode="auto">
                  <a:xfrm>
                    <a:off x="0" y="0"/>
                    <a:ext cx="1901253" cy="910762"/>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Pr>
        <w:noProof/>
      </w:rPr>
      <w:drawing>
        <wp:inline distT="0" distB="0" distL="0" distR="0" wp14:anchorId="621A5B0A" wp14:editId="31563C4D">
          <wp:extent cx="1702435" cy="495300"/>
          <wp:effectExtent l="0" t="0" r="0" b="0"/>
          <wp:docPr id="1421039817" name="Grafik 1421039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3">
                    <a:extLst>
                      <a:ext uri="{28A0092B-C50C-407E-A947-70E740481C1C}">
                        <a14:useLocalDpi xmlns:a14="http://schemas.microsoft.com/office/drawing/2010/main" val="0"/>
                      </a:ext>
                    </a:extLst>
                  </a:blip>
                  <a:srcRect b="-27337"/>
                  <a:stretch/>
                </pic:blipFill>
                <pic:spPr bwMode="auto">
                  <a:xfrm>
                    <a:off x="0" y="0"/>
                    <a:ext cx="1730108" cy="503351"/>
                  </a:xfrm>
                  <a:prstGeom prst="rect">
                    <a:avLst/>
                  </a:prstGeom>
                  <a:noFill/>
                  <a:ln>
                    <a:noFill/>
                  </a:ln>
                  <a:extLst>
                    <a:ext uri="{53640926-AAD7-44D8-BBD7-CCE9431645EC}">
                      <a14:shadowObscured xmlns:a14="http://schemas.microsoft.com/office/drawing/2010/main"/>
                    </a:ext>
                  </a:extLst>
                </pic:spPr>
              </pic:pic>
            </a:graphicData>
          </a:graphic>
        </wp:inline>
      </w:drawing>
    </w:r>
  </w:p>
  <w:p w14:paraId="7DF7E489" w14:textId="21A649BE" w:rsidR="00B050E9" w:rsidRDefault="00EF06B5">
    <w:pPr>
      <w:pStyle w:val="Kopfzeile"/>
    </w:pPr>
    <w:r>
      <w:t xml:space="preserve">                      </w:t>
    </w:r>
    <w:r>
      <w:rPr>
        <w:noProof/>
      </w:rPr>
      <w:drawing>
        <wp:inline distT="0" distB="0" distL="0" distR="0" wp14:anchorId="7E051AA6" wp14:editId="6B114E1B">
          <wp:extent cx="2057400" cy="522441"/>
          <wp:effectExtent l="0" t="0" r="0" b="0"/>
          <wp:docPr id="390129966" name="Grafik 390129966" descr="Ein Bild, das Text, Schrift, Screenshot,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62463" name="Grafik 10" descr="Ein Bild, das Text, Schrift, Screenshot, weiß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83056" cy="528956"/>
                  </a:xfrm>
                  <a:prstGeom prst="rect">
                    <a:avLst/>
                  </a:prstGeom>
                  <a:noFill/>
                  <a:ln>
                    <a:noFill/>
                  </a:ln>
                </pic:spPr>
              </pic:pic>
            </a:graphicData>
          </a:graphic>
        </wp:inline>
      </w:drawing>
    </w:r>
    <w:r>
      <w:t xml:space="preserve">         </w:t>
    </w:r>
    <w:r w:rsidR="00CC4033">
      <w:rPr>
        <w:noProof/>
      </w:rPr>
      <w:drawing>
        <wp:inline distT="0" distB="0" distL="0" distR="0" wp14:anchorId="684AE5BE" wp14:editId="2EE10AD8">
          <wp:extent cx="998220" cy="545592"/>
          <wp:effectExtent l="0" t="0" r="0" b="6985"/>
          <wp:docPr id="37285378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5298" t="16302" r="7947" b="12524"/>
                  <a:stretch/>
                </pic:blipFill>
                <pic:spPr bwMode="auto">
                  <a:xfrm>
                    <a:off x="0" y="0"/>
                    <a:ext cx="1020116" cy="557560"/>
                  </a:xfrm>
                  <a:prstGeom prst="rect">
                    <a:avLst/>
                  </a:prstGeom>
                  <a:noFill/>
                  <a:ln>
                    <a:noFill/>
                  </a:ln>
                  <a:extLst>
                    <a:ext uri="{53640926-AAD7-44D8-BBD7-CCE9431645EC}">
                      <a14:shadowObscured xmlns:a14="http://schemas.microsoft.com/office/drawing/2010/main"/>
                    </a:ext>
                  </a:extLst>
                </pic:spPr>
              </pic:pic>
            </a:graphicData>
          </a:graphic>
        </wp:inline>
      </w:drawing>
    </w:r>
  </w:p>
  <w:p w14:paraId="1370A136" w14:textId="77777777" w:rsidR="00B050E9" w:rsidRDefault="00B050E9">
    <w:pPr>
      <w:pStyle w:val="Kopfzeile"/>
    </w:pPr>
  </w:p>
  <w:p w14:paraId="5E013CD3" w14:textId="77777777" w:rsidR="0091456B" w:rsidRDefault="0091456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05135"/>
    <w:multiLevelType w:val="hybridMultilevel"/>
    <w:tmpl w:val="2556C280"/>
    <w:lvl w:ilvl="0" w:tplc="4B00D2B0">
      <w:start w:val="1"/>
      <w:numFmt w:val="lowerLetter"/>
      <w:lvlText w:val="%1."/>
      <w:lvlJc w:val="left"/>
      <w:pPr>
        <w:ind w:left="720" w:hanging="360"/>
      </w:pPr>
      <w:rPr>
        <w:rFonts w:ascii="Verdana" w:hAnsi="Verdana"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4B5E24"/>
    <w:multiLevelType w:val="hybridMultilevel"/>
    <w:tmpl w:val="0CCE940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870D7F"/>
    <w:multiLevelType w:val="hybridMultilevel"/>
    <w:tmpl w:val="D0028B56"/>
    <w:lvl w:ilvl="0" w:tplc="0692584C">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8270CC"/>
    <w:multiLevelType w:val="hybridMultilevel"/>
    <w:tmpl w:val="FEB29B0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27944F1"/>
    <w:multiLevelType w:val="multilevel"/>
    <w:tmpl w:val="07CEA680"/>
    <w:lvl w:ilvl="0">
      <w:start w:val="5"/>
      <w:numFmt w:val="decimal"/>
      <w:lvlText w:val="%1"/>
      <w:lvlJc w:val="left"/>
      <w:pPr>
        <w:ind w:left="360" w:hanging="360"/>
      </w:pPr>
      <w:rPr>
        <w:rFonts w:hint="default"/>
        <w:u w:val="single"/>
      </w:rPr>
    </w:lvl>
    <w:lvl w:ilvl="1">
      <w:start w:val="3"/>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5" w15:restartNumberingAfterBreak="0">
    <w:nsid w:val="292C2D76"/>
    <w:multiLevelType w:val="hybridMultilevel"/>
    <w:tmpl w:val="0ECE4CCA"/>
    <w:lvl w:ilvl="0" w:tplc="788617E2">
      <w:start w:val="1"/>
      <w:numFmt w:val="decimal"/>
      <w:lvlText w:val="(%1)"/>
      <w:lvlJc w:val="left"/>
      <w:pPr>
        <w:tabs>
          <w:tab w:val="num" w:pos="720"/>
        </w:tabs>
        <w:ind w:left="720" w:hanging="360"/>
      </w:pPr>
      <w:rPr>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D113067"/>
    <w:multiLevelType w:val="hybridMultilevel"/>
    <w:tmpl w:val="6F36F106"/>
    <w:lvl w:ilvl="0" w:tplc="0407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D0687"/>
    <w:multiLevelType w:val="hybridMultilevel"/>
    <w:tmpl w:val="9384A7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A9E6618"/>
    <w:multiLevelType w:val="hybridMultilevel"/>
    <w:tmpl w:val="64544F88"/>
    <w:lvl w:ilvl="0" w:tplc="94D6691E">
      <w:start w:val="1"/>
      <w:numFmt w:val="lowerLetter"/>
      <w:lvlText w:val="%1."/>
      <w:lvlJc w:val="left"/>
      <w:pPr>
        <w:ind w:left="1419" w:hanging="852"/>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9" w15:restartNumberingAfterBreak="0">
    <w:nsid w:val="51EA56CD"/>
    <w:multiLevelType w:val="hybridMultilevel"/>
    <w:tmpl w:val="A8D0B564"/>
    <w:lvl w:ilvl="0" w:tplc="04070001">
      <w:start w:val="1"/>
      <w:numFmt w:val="bullet"/>
      <w:lvlText w:val=""/>
      <w:lvlJc w:val="left"/>
      <w:pPr>
        <w:ind w:left="1713" w:hanging="360"/>
      </w:pPr>
      <w:rPr>
        <w:rFonts w:ascii="Symbol" w:hAnsi="Symbol" w:hint="default"/>
      </w:rPr>
    </w:lvl>
    <w:lvl w:ilvl="1" w:tplc="04070003" w:tentative="1">
      <w:start w:val="1"/>
      <w:numFmt w:val="bullet"/>
      <w:lvlText w:val="o"/>
      <w:lvlJc w:val="left"/>
      <w:pPr>
        <w:ind w:left="2433" w:hanging="360"/>
      </w:pPr>
      <w:rPr>
        <w:rFonts w:ascii="Courier New" w:hAnsi="Courier New" w:cs="Courier New" w:hint="default"/>
      </w:rPr>
    </w:lvl>
    <w:lvl w:ilvl="2" w:tplc="04070005" w:tentative="1">
      <w:start w:val="1"/>
      <w:numFmt w:val="bullet"/>
      <w:lvlText w:val=""/>
      <w:lvlJc w:val="left"/>
      <w:pPr>
        <w:ind w:left="3153" w:hanging="360"/>
      </w:pPr>
      <w:rPr>
        <w:rFonts w:ascii="Wingdings" w:hAnsi="Wingdings" w:hint="default"/>
      </w:rPr>
    </w:lvl>
    <w:lvl w:ilvl="3" w:tplc="04070001" w:tentative="1">
      <w:start w:val="1"/>
      <w:numFmt w:val="bullet"/>
      <w:lvlText w:val=""/>
      <w:lvlJc w:val="left"/>
      <w:pPr>
        <w:ind w:left="3873" w:hanging="360"/>
      </w:pPr>
      <w:rPr>
        <w:rFonts w:ascii="Symbol" w:hAnsi="Symbol" w:hint="default"/>
      </w:rPr>
    </w:lvl>
    <w:lvl w:ilvl="4" w:tplc="04070003" w:tentative="1">
      <w:start w:val="1"/>
      <w:numFmt w:val="bullet"/>
      <w:lvlText w:val="o"/>
      <w:lvlJc w:val="left"/>
      <w:pPr>
        <w:ind w:left="4593" w:hanging="360"/>
      </w:pPr>
      <w:rPr>
        <w:rFonts w:ascii="Courier New" w:hAnsi="Courier New" w:cs="Courier New" w:hint="default"/>
      </w:rPr>
    </w:lvl>
    <w:lvl w:ilvl="5" w:tplc="04070005" w:tentative="1">
      <w:start w:val="1"/>
      <w:numFmt w:val="bullet"/>
      <w:lvlText w:val=""/>
      <w:lvlJc w:val="left"/>
      <w:pPr>
        <w:ind w:left="5313" w:hanging="360"/>
      </w:pPr>
      <w:rPr>
        <w:rFonts w:ascii="Wingdings" w:hAnsi="Wingdings" w:hint="default"/>
      </w:rPr>
    </w:lvl>
    <w:lvl w:ilvl="6" w:tplc="04070001" w:tentative="1">
      <w:start w:val="1"/>
      <w:numFmt w:val="bullet"/>
      <w:lvlText w:val=""/>
      <w:lvlJc w:val="left"/>
      <w:pPr>
        <w:ind w:left="6033" w:hanging="360"/>
      </w:pPr>
      <w:rPr>
        <w:rFonts w:ascii="Symbol" w:hAnsi="Symbol" w:hint="default"/>
      </w:rPr>
    </w:lvl>
    <w:lvl w:ilvl="7" w:tplc="04070003" w:tentative="1">
      <w:start w:val="1"/>
      <w:numFmt w:val="bullet"/>
      <w:lvlText w:val="o"/>
      <w:lvlJc w:val="left"/>
      <w:pPr>
        <w:ind w:left="6753" w:hanging="360"/>
      </w:pPr>
      <w:rPr>
        <w:rFonts w:ascii="Courier New" w:hAnsi="Courier New" w:cs="Courier New" w:hint="default"/>
      </w:rPr>
    </w:lvl>
    <w:lvl w:ilvl="8" w:tplc="04070005" w:tentative="1">
      <w:start w:val="1"/>
      <w:numFmt w:val="bullet"/>
      <w:lvlText w:val=""/>
      <w:lvlJc w:val="left"/>
      <w:pPr>
        <w:ind w:left="7473" w:hanging="360"/>
      </w:pPr>
      <w:rPr>
        <w:rFonts w:ascii="Wingdings" w:hAnsi="Wingdings" w:hint="default"/>
      </w:rPr>
    </w:lvl>
  </w:abstractNum>
  <w:abstractNum w:abstractNumId="10" w15:restartNumberingAfterBreak="0">
    <w:nsid w:val="523B6BEA"/>
    <w:multiLevelType w:val="hybridMultilevel"/>
    <w:tmpl w:val="2F02C57A"/>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9A12E8"/>
    <w:multiLevelType w:val="hybridMultilevel"/>
    <w:tmpl w:val="B186F7AA"/>
    <w:lvl w:ilvl="0" w:tplc="7E9CAD44">
      <w:start w:val="1"/>
      <w:numFmt w:val="lowerRoman"/>
      <w:lvlText w:val="(%1)"/>
      <w:lvlJc w:val="left"/>
      <w:pPr>
        <w:ind w:left="1713" w:hanging="7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15:restartNumberingAfterBreak="0">
    <w:nsid w:val="58741ED2"/>
    <w:multiLevelType w:val="hybridMultilevel"/>
    <w:tmpl w:val="CCBA8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1F5622"/>
    <w:multiLevelType w:val="multilevel"/>
    <w:tmpl w:val="561E1F52"/>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9D80327"/>
    <w:multiLevelType w:val="hybridMultilevel"/>
    <w:tmpl w:val="9384A7EA"/>
    <w:lvl w:ilvl="0" w:tplc="0407000F">
      <w:start w:val="1"/>
      <w:numFmt w:val="decimal"/>
      <w:lvlText w:val="%1."/>
      <w:lvlJc w:val="left"/>
      <w:pPr>
        <w:ind w:left="785" w:hanging="360"/>
      </w:p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15" w15:restartNumberingAfterBreak="0">
    <w:nsid w:val="61DE4A76"/>
    <w:multiLevelType w:val="hybridMultilevel"/>
    <w:tmpl w:val="9E6E4DA2"/>
    <w:lvl w:ilvl="0" w:tplc="5BCAE228">
      <w:start w:val="1"/>
      <w:numFmt w:val="lowerLetter"/>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6A63707"/>
    <w:multiLevelType w:val="hybridMultilevel"/>
    <w:tmpl w:val="A04C049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B6968FC"/>
    <w:multiLevelType w:val="hybridMultilevel"/>
    <w:tmpl w:val="9384A7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59477DA"/>
    <w:multiLevelType w:val="hybridMultilevel"/>
    <w:tmpl w:val="71D6BE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6752880"/>
    <w:multiLevelType w:val="hybridMultilevel"/>
    <w:tmpl w:val="46C6A032"/>
    <w:lvl w:ilvl="0" w:tplc="39CE15F2">
      <w:start w:val="1"/>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58461213">
    <w:abstractNumId w:val="14"/>
  </w:num>
  <w:num w:numId="2" w16cid:durableId="939025431">
    <w:abstractNumId w:val="5"/>
  </w:num>
  <w:num w:numId="3" w16cid:durableId="1698460226">
    <w:abstractNumId w:val="7"/>
  </w:num>
  <w:num w:numId="4" w16cid:durableId="651368895">
    <w:abstractNumId w:val="0"/>
  </w:num>
  <w:num w:numId="5" w16cid:durableId="1878393230">
    <w:abstractNumId w:val="15"/>
  </w:num>
  <w:num w:numId="6" w16cid:durableId="907418323">
    <w:abstractNumId w:val="19"/>
  </w:num>
  <w:num w:numId="7" w16cid:durableId="1749964688">
    <w:abstractNumId w:val="17"/>
  </w:num>
  <w:num w:numId="8" w16cid:durableId="1641224685">
    <w:abstractNumId w:val="16"/>
  </w:num>
  <w:num w:numId="9" w16cid:durableId="1385374414">
    <w:abstractNumId w:val="1"/>
  </w:num>
  <w:num w:numId="10" w16cid:durableId="1298728730">
    <w:abstractNumId w:val="8"/>
  </w:num>
  <w:num w:numId="11" w16cid:durableId="646251175">
    <w:abstractNumId w:val="9"/>
  </w:num>
  <w:num w:numId="12" w16cid:durableId="569848814">
    <w:abstractNumId w:val="18"/>
  </w:num>
  <w:num w:numId="13" w16cid:durableId="1791780884">
    <w:abstractNumId w:val="10"/>
  </w:num>
  <w:num w:numId="14" w16cid:durableId="99569539">
    <w:abstractNumId w:val="4"/>
  </w:num>
  <w:num w:numId="15" w16cid:durableId="1088381443">
    <w:abstractNumId w:val="2"/>
  </w:num>
  <w:num w:numId="16" w16cid:durableId="643583874">
    <w:abstractNumId w:val="6"/>
  </w:num>
  <w:num w:numId="17" w16cid:durableId="388379101">
    <w:abstractNumId w:val="3"/>
  </w:num>
  <w:num w:numId="18" w16cid:durableId="224142450">
    <w:abstractNumId w:val="11"/>
  </w:num>
  <w:num w:numId="19" w16cid:durableId="1625303816">
    <w:abstractNumId w:val="13"/>
  </w:num>
  <w:num w:numId="20" w16cid:durableId="20743552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A9A"/>
    <w:rsid w:val="00004961"/>
    <w:rsid w:val="00014235"/>
    <w:rsid w:val="00015EDE"/>
    <w:rsid w:val="00024D09"/>
    <w:rsid w:val="00025770"/>
    <w:rsid w:val="000312A4"/>
    <w:rsid w:val="00033465"/>
    <w:rsid w:val="00037080"/>
    <w:rsid w:val="00037625"/>
    <w:rsid w:val="00055ADC"/>
    <w:rsid w:val="00075699"/>
    <w:rsid w:val="00077283"/>
    <w:rsid w:val="0008564F"/>
    <w:rsid w:val="00092A57"/>
    <w:rsid w:val="00093E75"/>
    <w:rsid w:val="000B3D3E"/>
    <w:rsid w:val="000D1A41"/>
    <w:rsid w:val="000F265C"/>
    <w:rsid w:val="000F2E47"/>
    <w:rsid w:val="00111D5E"/>
    <w:rsid w:val="00117F37"/>
    <w:rsid w:val="00130262"/>
    <w:rsid w:val="0014426B"/>
    <w:rsid w:val="0014738D"/>
    <w:rsid w:val="0015109D"/>
    <w:rsid w:val="001608F9"/>
    <w:rsid w:val="00165D6F"/>
    <w:rsid w:val="00172BE9"/>
    <w:rsid w:val="00173100"/>
    <w:rsid w:val="00174378"/>
    <w:rsid w:val="001749A1"/>
    <w:rsid w:val="00190F4D"/>
    <w:rsid w:val="00195DB1"/>
    <w:rsid w:val="00196978"/>
    <w:rsid w:val="001A36AD"/>
    <w:rsid w:val="001B4A1B"/>
    <w:rsid w:val="001B4D97"/>
    <w:rsid w:val="001B5173"/>
    <w:rsid w:val="001B59F8"/>
    <w:rsid w:val="001B6494"/>
    <w:rsid w:val="001C2F4B"/>
    <w:rsid w:val="001E1C2F"/>
    <w:rsid w:val="001F2B1B"/>
    <w:rsid w:val="001F7D4A"/>
    <w:rsid w:val="00204DFE"/>
    <w:rsid w:val="002062E6"/>
    <w:rsid w:val="00225CAD"/>
    <w:rsid w:val="00235FAD"/>
    <w:rsid w:val="00251C1D"/>
    <w:rsid w:val="00260D96"/>
    <w:rsid w:val="00261262"/>
    <w:rsid w:val="00285AA2"/>
    <w:rsid w:val="0029304D"/>
    <w:rsid w:val="002A21B2"/>
    <w:rsid w:val="002A4D43"/>
    <w:rsid w:val="002B2C46"/>
    <w:rsid w:val="002B6740"/>
    <w:rsid w:val="002D55FA"/>
    <w:rsid w:val="002E4588"/>
    <w:rsid w:val="002F5B9A"/>
    <w:rsid w:val="003109FE"/>
    <w:rsid w:val="00315EB5"/>
    <w:rsid w:val="00323F5C"/>
    <w:rsid w:val="0033008A"/>
    <w:rsid w:val="003422F4"/>
    <w:rsid w:val="003441E7"/>
    <w:rsid w:val="00347C29"/>
    <w:rsid w:val="00393C57"/>
    <w:rsid w:val="003A0888"/>
    <w:rsid w:val="003A18BD"/>
    <w:rsid w:val="003A584E"/>
    <w:rsid w:val="003B2731"/>
    <w:rsid w:val="003C69F6"/>
    <w:rsid w:val="003D20B1"/>
    <w:rsid w:val="003E40CB"/>
    <w:rsid w:val="0040256A"/>
    <w:rsid w:val="00402BE4"/>
    <w:rsid w:val="00403437"/>
    <w:rsid w:val="00406EFA"/>
    <w:rsid w:val="00410F6F"/>
    <w:rsid w:val="004112C9"/>
    <w:rsid w:val="00420DB3"/>
    <w:rsid w:val="004239B1"/>
    <w:rsid w:val="00437B13"/>
    <w:rsid w:val="00440F55"/>
    <w:rsid w:val="00446621"/>
    <w:rsid w:val="00455D08"/>
    <w:rsid w:val="00456AC1"/>
    <w:rsid w:val="00481636"/>
    <w:rsid w:val="00486804"/>
    <w:rsid w:val="004B2E64"/>
    <w:rsid w:val="004B3960"/>
    <w:rsid w:val="004B3A07"/>
    <w:rsid w:val="004C0E6A"/>
    <w:rsid w:val="004C4A16"/>
    <w:rsid w:val="004D060C"/>
    <w:rsid w:val="004D1A0B"/>
    <w:rsid w:val="004D21AD"/>
    <w:rsid w:val="004D43F8"/>
    <w:rsid w:val="004E6906"/>
    <w:rsid w:val="004E77E7"/>
    <w:rsid w:val="004F19FA"/>
    <w:rsid w:val="004F1E76"/>
    <w:rsid w:val="00500599"/>
    <w:rsid w:val="00504946"/>
    <w:rsid w:val="00505916"/>
    <w:rsid w:val="00505A0D"/>
    <w:rsid w:val="0051079A"/>
    <w:rsid w:val="00516E1E"/>
    <w:rsid w:val="0052174E"/>
    <w:rsid w:val="00532DB9"/>
    <w:rsid w:val="005344A0"/>
    <w:rsid w:val="00536240"/>
    <w:rsid w:val="0054108E"/>
    <w:rsid w:val="005800D5"/>
    <w:rsid w:val="00580CE0"/>
    <w:rsid w:val="00581A02"/>
    <w:rsid w:val="005A2FB0"/>
    <w:rsid w:val="005A5A6B"/>
    <w:rsid w:val="005B2E73"/>
    <w:rsid w:val="005B7158"/>
    <w:rsid w:val="005C530C"/>
    <w:rsid w:val="005E4B6D"/>
    <w:rsid w:val="00601E3B"/>
    <w:rsid w:val="00602C9A"/>
    <w:rsid w:val="00605402"/>
    <w:rsid w:val="0060766C"/>
    <w:rsid w:val="00610A14"/>
    <w:rsid w:val="0061123C"/>
    <w:rsid w:val="006132E0"/>
    <w:rsid w:val="00626BC0"/>
    <w:rsid w:val="00630C15"/>
    <w:rsid w:val="00635430"/>
    <w:rsid w:val="00635811"/>
    <w:rsid w:val="00660ADB"/>
    <w:rsid w:val="00665EE5"/>
    <w:rsid w:val="00674460"/>
    <w:rsid w:val="00675735"/>
    <w:rsid w:val="0069100B"/>
    <w:rsid w:val="0069317F"/>
    <w:rsid w:val="006A14FA"/>
    <w:rsid w:val="006F0E89"/>
    <w:rsid w:val="006F0EC9"/>
    <w:rsid w:val="006F2B42"/>
    <w:rsid w:val="006F4D9B"/>
    <w:rsid w:val="00721E9B"/>
    <w:rsid w:val="00744654"/>
    <w:rsid w:val="00770AF3"/>
    <w:rsid w:val="007728D7"/>
    <w:rsid w:val="007753CC"/>
    <w:rsid w:val="007811D2"/>
    <w:rsid w:val="0078143D"/>
    <w:rsid w:val="00795EE3"/>
    <w:rsid w:val="007B36B6"/>
    <w:rsid w:val="007B7EC4"/>
    <w:rsid w:val="007D457C"/>
    <w:rsid w:val="007E079D"/>
    <w:rsid w:val="007E3740"/>
    <w:rsid w:val="007E437F"/>
    <w:rsid w:val="007E6AF6"/>
    <w:rsid w:val="007E6D9A"/>
    <w:rsid w:val="007F3390"/>
    <w:rsid w:val="007F6133"/>
    <w:rsid w:val="00812F30"/>
    <w:rsid w:val="00845A31"/>
    <w:rsid w:val="00855A79"/>
    <w:rsid w:val="00857F46"/>
    <w:rsid w:val="008641AC"/>
    <w:rsid w:val="008775F9"/>
    <w:rsid w:val="00883135"/>
    <w:rsid w:val="0088520E"/>
    <w:rsid w:val="008A5C31"/>
    <w:rsid w:val="008A64B2"/>
    <w:rsid w:val="008B0E03"/>
    <w:rsid w:val="008B7CF6"/>
    <w:rsid w:val="008C273E"/>
    <w:rsid w:val="008C6E63"/>
    <w:rsid w:val="008D1440"/>
    <w:rsid w:val="008D56D9"/>
    <w:rsid w:val="008D6FDA"/>
    <w:rsid w:val="008E1984"/>
    <w:rsid w:val="008E55FD"/>
    <w:rsid w:val="008E6B72"/>
    <w:rsid w:val="008F440C"/>
    <w:rsid w:val="00907AB2"/>
    <w:rsid w:val="0091456B"/>
    <w:rsid w:val="00937DDA"/>
    <w:rsid w:val="00947421"/>
    <w:rsid w:val="00961630"/>
    <w:rsid w:val="00961E60"/>
    <w:rsid w:val="0096256F"/>
    <w:rsid w:val="00967839"/>
    <w:rsid w:val="009703EE"/>
    <w:rsid w:val="009723AD"/>
    <w:rsid w:val="00984E0C"/>
    <w:rsid w:val="009A2D52"/>
    <w:rsid w:val="009A4F38"/>
    <w:rsid w:val="009B0B59"/>
    <w:rsid w:val="009C6070"/>
    <w:rsid w:val="009D64CD"/>
    <w:rsid w:val="009E3C30"/>
    <w:rsid w:val="009E72B0"/>
    <w:rsid w:val="009E7693"/>
    <w:rsid w:val="00A06901"/>
    <w:rsid w:val="00A21F9D"/>
    <w:rsid w:val="00A258A9"/>
    <w:rsid w:val="00A44D0C"/>
    <w:rsid w:val="00A5328E"/>
    <w:rsid w:val="00A612BF"/>
    <w:rsid w:val="00A7217C"/>
    <w:rsid w:val="00A91CEA"/>
    <w:rsid w:val="00A969D2"/>
    <w:rsid w:val="00AA3DFE"/>
    <w:rsid w:val="00AB3CB1"/>
    <w:rsid w:val="00AB6A1F"/>
    <w:rsid w:val="00AC359F"/>
    <w:rsid w:val="00AC63B4"/>
    <w:rsid w:val="00AD41E4"/>
    <w:rsid w:val="00AD588F"/>
    <w:rsid w:val="00AE236E"/>
    <w:rsid w:val="00AE7AA7"/>
    <w:rsid w:val="00AF0D1E"/>
    <w:rsid w:val="00B050E9"/>
    <w:rsid w:val="00B139EC"/>
    <w:rsid w:val="00B154A3"/>
    <w:rsid w:val="00B21C59"/>
    <w:rsid w:val="00B27A94"/>
    <w:rsid w:val="00B3134E"/>
    <w:rsid w:val="00B37B01"/>
    <w:rsid w:val="00B45317"/>
    <w:rsid w:val="00B5633A"/>
    <w:rsid w:val="00B72EC2"/>
    <w:rsid w:val="00B750E5"/>
    <w:rsid w:val="00B772C2"/>
    <w:rsid w:val="00B8370C"/>
    <w:rsid w:val="00B84739"/>
    <w:rsid w:val="00B92B03"/>
    <w:rsid w:val="00B95166"/>
    <w:rsid w:val="00B97FBB"/>
    <w:rsid w:val="00BA137E"/>
    <w:rsid w:val="00BA2242"/>
    <w:rsid w:val="00BB2C69"/>
    <w:rsid w:val="00BB4EC3"/>
    <w:rsid w:val="00BC357D"/>
    <w:rsid w:val="00BC764C"/>
    <w:rsid w:val="00BC7891"/>
    <w:rsid w:val="00BD5448"/>
    <w:rsid w:val="00BE667F"/>
    <w:rsid w:val="00BF62B2"/>
    <w:rsid w:val="00C05BE4"/>
    <w:rsid w:val="00C1362D"/>
    <w:rsid w:val="00C24C36"/>
    <w:rsid w:val="00C37F9D"/>
    <w:rsid w:val="00C46B3F"/>
    <w:rsid w:val="00C47EE5"/>
    <w:rsid w:val="00C52DED"/>
    <w:rsid w:val="00C551B8"/>
    <w:rsid w:val="00C70646"/>
    <w:rsid w:val="00C71692"/>
    <w:rsid w:val="00C76847"/>
    <w:rsid w:val="00C955DF"/>
    <w:rsid w:val="00C97849"/>
    <w:rsid w:val="00CA6415"/>
    <w:rsid w:val="00CA6DE7"/>
    <w:rsid w:val="00CB0F60"/>
    <w:rsid w:val="00CB33AF"/>
    <w:rsid w:val="00CB34BC"/>
    <w:rsid w:val="00CC4033"/>
    <w:rsid w:val="00CD10B3"/>
    <w:rsid w:val="00CD27C0"/>
    <w:rsid w:val="00CD66EE"/>
    <w:rsid w:val="00CE17A4"/>
    <w:rsid w:val="00D004D2"/>
    <w:rsid w:val="00D03AC4"/>
    <w:rsid w:val="00D057B9"/>
    <w:rsid w:val="00D47C16"/>
    <w:rsid w:val="00D50D28"/>
    <w:rsid w:val="00D5630E"/>
    <w:rsid w:val="00D637A3"/>
    <w:rsid w:val="00D81754"/>
    <w:rsid w:val="00D844CD"/>
    <w:rsid w:val="00D927C2"/>
    <w:rsid w:val="00DB09EE"/>
    <w:rsid w:val="00DB4B0D"/>
    <w:rsid w:val="00DB56AF"/>
    <w:rsid w:val="00DC18E7"/>
    <w:rsid w:val="00DD4F9A"/>
    <w:rsid w:val="00DE3377"/>
    <w:rsid w:val="00DE5DFB"/>
    <w:rsid w:val="00E03969"/>
    <w:rsid w:val="00E05558"/>
    <w:rsid w:val="00E0748C"/>
    <w:rsid w:val="00E2173E"/>
    <w:rsid w:val="00E229BA"/>
    <w:rsid w:val="00E26368"/>
    <w:rsid w:val="00E26841"/>
    <w:rsid w:val="00E31227"/>
    <w:rsid w:val="00E37A9A"/>
    <w:rsid w:val="00E67FC3"/>
    <w:rsid w:val="00E73BE1"/>
    <w:rsid w:val="00E75E61"/>
    <w:rsid w:val="00E77AF3"/>
    <w:rsid w:val="00E84B1D"/>
    <w:rsid w:val="00E84B7F"/>
    <w:rsid w:val="00E84BC5"/>
    <w:rsid w:val="00E85884"/>
    <w:rsid w:val="00E95A46"/>
    <w:rsid w:val="00EA1F87"/>
    <w:rsid w:val="00EA43FE"/>
    <w:rsid w:val="00EC552D"/>
    <w:rsid w:val="00EC7270"/>
    <w:rsid w:val="00ED5BDC"/>
    <w:rsid w:val="00ED77A8"/>
    <w:rsid w:val="00EE35B6"/>
    <w:rsid w:val="00EE74BF"/>
    <w:rsid w:val="00EF06B5"/>
    <w:rsid w:val="00EF36AE"/>
    <w:rsid w:val="00EF6DCC"/>
    <w:rsid w:val="00F00A31"/>
    <w:rsid w:val="00F20FE2"/>
    <w:rsid w:val="00F21504"/>
    <w:rsid w:val="00F401F1"/>
    <w:rsid w:val="00F80289"/>
    <w:rsid w:val="00F81437"/>
    <w:rsid w:val="00F86787"/>
    <w:rsid w:val="00F90FCB"/>
    <w:rsid w:val="00FA0D64"/>
    <w:rsid w:val="00FA0F25"/>
    <w:rsid w:val="00FA6841"/>
    <w:rsid w:val="00FB5150"/>
    <w:rsid w:val="00FC3E31"/>
    <w:rsid w:val="00FD0F54"/>
    <w:rsid w:val="00FE046D"/>
    <w:rsid w:val="00FE44AF"/>
    <w:rsid w:val="00FE4629"/>
    <w:rsid w:val="00FE4D22"/>
    <w:rsid w:val="00FE7E99"/>
    <w:rsid w:val="00FF34C9"/>
    <w:rsid w:val="00FF536A"/>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76CA3"/>
  <w15:docId w15:val="{AE0033EC-176C-479B-B5E9-F0A471A5A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55D08"/>
    <w:pPr>
      <w:spacing w:after="0" w:line="240" w:lineRule="auto"/>
    </w:pPr>
    <w:rPr>
      <w:rFonts w:ascii="Verdana" w:eastAsia="Times New Roman" w:hAnsi="Verdana"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401F1"/>
    <w:rPr>
      <w:color w:val="0563C1" w:themeColor="hyperlink"/>
      <w:u w:val="single"/>
    </w:rPr>
  </w:style>
  <w:style w:type="paragraph" w:styleId="Listenabsatz">
    <w:name w:val="List Paragraph"/>
    <w:aliases w:val="Nummerierung"/>
    <w:basedOn w:val="Standard"/>
    <w:link w:val="ListenabsatzZchn"/>
    <w:uiPriority w:val="34"/>
    <w:qFormat/>
    <w:rsid w:val="00605402"/>
    <w:pPr>
      <w:spacing w:after="200" w:line="276" w:lineRule="auto"/>
      <w:ind w:left="720"/>
      <w:contextualSpacing/>
    </w:pPr>
    <w:rPr>
      <w:rFonts w:asciiTheme="minorHAnsi" w:eastAsiaTheme="minorHAnsi" w:hAnsiTheme="minorHAnsi" w:cstheme="minorBidi"/>
      <w:sz w:val="22"/>
      <w:szCs w:val="22"/>
      <w:lang w:eastAsia="en-US"/>
    </w:rPr>
  </w:style>
  <w:style w:type="character" w:styleId="Kommentarzeichen">
    <w:name w:val="annotation reference"/>
    <w:basedOn w:val="Absatz-Standardschriftart"/>
    <w:semiHidden/>
    <w:unhideWhenUsed/>
    <w:rsid w:val="004E77E7"/>
    <w:rPr>
      <w:sz w:val="16"/>
      <w:szCs w:val="16"/>
    </w:rPr>
  </w:style>
  <w:style w:type="paragraph" w:styleId="Kommentartext">
    <w:name w:val="annotation text"/>
    <w:basedOn w:val="Standard"/>
    <w:link w:val="KommentartextZchn"/>
    <w:uiPriority w:val="99"/>
    <w:unhideWhenUsed/>
    <w:rsid w:val="004E77E7"/>
    <w:rPr>
      <w:sz w:val="20"/>
      <w:szCs w:val="20"/>
    </w:rPr>
  </w:style>
  <w:style w:type="character" w:customStyle="1" w:styleId="KommentartextZchn">
    <w:name w:val="Kommentartext Zchn"/>
    <w:basedOn w:val="Absatz-Standardschriftart"/>
    <w:link w:val="Kommentartext"/>
    <w:uiPriority w:val="99"/>
    <w:rsid w:val="004E77E7"/>
    <w:rPr>
      <w:rFonts w:ascii="Verdana" w:eastAsia="Times New Roman" w:hAnsi="Verdana"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4E77E7"/>
    <w:rPr>
      <w:b/>
      <w:bCs/>
    </w:rPr>
  </w:style>
  <w:style w:type="character" w:customStyle="1" w:styleId="KommentarthemaZchn">
    <w:name w:val="Kommentarthema Zchn"/>
    <w:basedOn w:val="KommentartextZchn"/>
    <w:link w:val="Kommentarthema"/>
    <w:uiPriority w:val="99"/>
    <w:semiHidden/>
    <w:rsid w:val="004E77E7"/>
    <w:rPr>
      <w:rFonts w:ascii="Verdana" w:eastAsia="Times New Roman" w:hAnsi="Verdana" w:cs="Times New Roman"/>
      <w:b/>
      <w:bCs/>
      <w:sz w:val="20"/>
      <w:szCs w:val="20"/>
      <w:lang w:eastAsia="de-DE"/>
    </w:rPr>
  </w:style>
  <w:style w:type="paragraph" w:styleId="Sprechblasentext">
    <w:name w:val="Balloon Text"/>
    <w:basedOn w:val="Standard"/>
    <w:link w:val="SprechblasentextZchn"/>
    <w:uiPriority w:val="99"/>
    <w:semiHidden/>
    <w:unhideWhenUsed/>
    <w:rsid w:val="004E77E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E77E7"/>
    <w:rPr>
      <w:rFonts w:ascii="Segoe UI" w:eastAsia="Times New Roman" w:hAnsi="Segoe UI" w:cs="Segoe UI"/>
      <w:sz w:val="18"/>
      <w:szCs w:val="18"/>
      <w:lang w:eastAsia="de-DE"/>
    </w:rPr>
  </w:style>
  <w:style w:type="paragraph" w:customStyle="1" w:styleId="VFAText">
    <w:name w:val="!VFA_Text"/>
    <w:basedOn w:val="Standard"/>
    <w:uiPriority w:val="99"/>
    <w:rsid w:val="00A91CEA"/>
    <w:pPr>
      <w:tabs>
        <w:tab w:val="right" w:pos="1803"/>
        <w:tab w:val="left" w:pos="1973"/>
      </w:tabs>
      <w:spacing w:after="260" w:line="260" w:lineRule="exact"/>
    </w:pPr>
    <w:rPr>
      <w:color w:val="000000"/>
      <w:sz w:val="20"/>
      <w:szCs w:val="20"/>
    </w:rPr>
  </w:style>
  <w:style w:type="paragraph" w:styleId="Funotentext">
    <w:name w:val="footnote text"/>
    <w:basedOn w:val="Standard"/>
    <w:link w:val="FunotentextZchn"/>
    <w:uiPriority w:val="99"/>
    <w:semiHidden/>
    <w:unhideWhenUsed/>
    <w:rsid w:val="009A2D52"/>
    <w:rPr>
      <w:sz w:val="20"/>
      <w:szCs w:val="20"/>
    </w:rPr>
  </w:style>
  <w:style w:type="character" w:customStyle="1" w:styleId="FunotentextZchn">
    <w:name w:val="Fußnotentext Zchn"/>
    <w:basedOn w:val="Absatz-Standardschriftart"/>
    <w:link w:val="Funotentext"/>
    <w:uiPriority w:val="99"/>
    <w:semiHidden/>
    <w:rsid w:val="009A2D52"/>
    <w:rPr>
      <w:rFonts w:ascii="Verdana" w:eastAsia="Times New Roman" w:hAnsi="Verdana" w:cs="Times New Roman"/>
      <w:sz w:val="20"/>
      <w:szCs w:val="20"/>
      <w:lang w:eastAsia="de-DE"/>
    </w:rPr>
  </w:style>
  <w:style w:type="character" w:styleId="Funotenzeichen">
    <w:name w:val="footnote reference"/>
    <w:basedOn w:val="Absatz-Standardschriftart"/>
    <w:uiPriority w:val="99"/>
    <w:semiHidden/>
    <w:unhideWhenUsed/>
    <w:rsid w:val="009A2D52"/>
    <w:rPr>
      <w:vertAlign w:val="superscript"/>
    </w:rPr>
  </w:style>
  <w:style w:type="paragraph" w:styleId="berarbeitung">
    <w:name w:val="Revision"/>
    <w:hidden/>
    <w:uiPriority w:val="99"/>
    <w:semiHidden/>
    <w:rsid w:val="00190F4D"/>
    <w:pPr>
      <w:spacing w:after="0" w:line="240" w:lineRule="auto"/>
    </w:pPr>
    <w:rPr>
      <w:rFonts w:ascii="Verdana" w:eastAsia="Times New Roman" w:hAnsi="Verdana" w:cs="Times New Roman"/>
      <w:sz w:val="24"/>
      <w:szCs w:val="24"/>
      <w:lang w:eastAsia="de-DE"/>
    </w:rPr>
  </w:style>
  <w:style w:type="paragraph" w:styleId="Kopfzeile">
    <w:name w:val="header"/>
    <w:basedOn w:val="Standard"/>
    <w:link w:val="KopfzeileZchn"/>
    <w:uiPriority w:val="99"/>
    <w:unhideWhenUsed/>
    <w:rsid w:val="00CD27C0"/>
    <w:pPr>
      <w:tabs>
        <w:tab w:val="center" w:pos="4536"/>
        <w:tab w:val="right" w:pos="9072"/>
      </w:tabs>
    </w:pPr>
  </w:style>
  <w:style w:type="character" w:customStyle="1" w:styleId="KopfzeileZchn">
    <w:name w:val="Kopfzeile Zchn"/>
    <w:basedOn w:val="Absatz-Standardschriftart"/>
    <w:link w:val="Kopfzeile"/>
    <w:uiPriority w:val="99"/>
    <w:rsid w:val="00CD27C0"/>
    <w:rPr>
      <w:rFonts w:ascii="Verdana" w:eastAsia="Times New Roman" w:hAnsi="Verdana" w:cs="Times New Roman"/>
      <w:sz w:val="24"/>
      <w:szCs w:val="24"/>
      <w:lang w:eastAsia="de-DE"/>
    </w:rPr>
  </w:style>
  <w:style w:type="paragraph" w:styleId="Fuzeile">
    <w:name w:val="footer"/>
    <w:basedOn w:val="Standard"/>
    <w:link w:val="FuzeileZchn"/>
    <w:uiPriority w:val="99"/>
    <w:unhideWhenUsed/>
    <w:rsid w:val="00CD27C0"/>
    <w:pPr>
      <w:tabs>
        <w:tab w:val="center" w:pos="4536"/>
        <w:tab w:val="right" w:pos="9072"/>
      </w:tabs>
    </w:pPr>
  </w:style>
  <w:style w:type="character" w:customStyle="1" w:styleId="FuzeileZchn">
    <w:name w:val="Fußzeile Zchn"/>
    <w:basedOn w:val="Absatz-Standardschriftart"/>
    <w:link w:val="Fuzeile"/>
    <w:uiPriority w:val="99"/>
    <w:rsid w:val="00CD27C0"/>
    <w:rPr>
      <w:rFonts w:ascii="Verdana" w:eastAsia="Times New Roman" w:hAnsi="Verdana" w:cs="Times New Roman"/>
      <w:sz w:val="24"/>
      <w:szCs w:val="24"/>
      <w:lang w:eastAsia="de-DE"/>
    </w:rPr>
  </w:style>
  <w:style w:type="character" w:customStyle="1" w:styleId="ListenabsatzZchn">
    <w:name w:val="Listenabsatz Zchn"/>
    <w:aliases w:val="Nummerierung Zchn"/>
    <w:basedOn w:val="Absatz-Standardschriftart"/>
    <w:link w:val="Listenabsatz"/>
    <w:uiPriority w:val="34"/>
    <w:rsid w:val="00B050E9"/>
  </w:style>
  <w:style w:type="table" w:styleId="Tabellenraster">
    <w:name w:val="Table Grid"/>
    <w:basedOn w:val="NormaleTabelle"/>
    <w:uiPriority w:val="59"/>
    <w:rsid w:val="00B05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C97849"/>
    <w:rPr>
      <w:color w:val="605E5C"/>
      <w:shd w:val="clear" w:color="auto" w:fill="E1DFDD"/>
    </w:rPr>
  </w:style>
  <w:style w:type="character" w:customStyle="1" w:styleId="cf01">
    <w:name w:val="cf01"/>
    <w:basedOn w:val="Absatz-Standardschriftart"/>
    <w:rsid w:val="001B4A1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940902">
      <w:bodyDiv w:val="1"/>
      <w:marLeft w:val="0"/>
      <w:marRight w:val="0"/>
      <w:marTop w:val="0"/>
      <w:marBottom w:val="0"/>
      <w:divBdr>
        <w:top w:val="none" w:sz="0" w:space="0" w:color="auto"/>
        <w:left w:val="none" w:sz="0" w:space="0" w:color="auto"/>
        <w:bottom w:val="none" w:sz="0" w:space="0" w:color="auto"/>
        <w:right w:val="none" w:sz="0" w:space="0" w:color="auto"/>
      </w:divBdr>
    </w:div>
    <w:div w:id="502817677">
      <w:bodyDiv w:val="1"/>
      <w:marLeft w:val="0"/>
      <w:marRight w:val="0"/>
      <w:marTop w:val="0"/>
      <w:marBottom w:val="0"/>
      <w:divBdr>
        <w:top w:val="none" w:sz="0" w:space="0" w:color="auto"/>
        <w:left w:val="none" w:sz="0" w:space="0" w:color="auto"/>
        <w:bottom w:val="none" w:sz="0" w:space="0" w:color="auto"/>
        <w:right w:val="none" w:sz="0" w:space="0" w:color="auto"/>
      </w:divBdr>
    </w:div>
    <w:div w:id="513152286">
      <w:bodyDiv w:val="1"/>
      <w:marLeft w:val="0"/>
      <w:marRight w:val="0"/>
      <w:marTop w:val="0"/>
      <w:marBottom w:val="0"/>
      <w:divBdr>
        <w:top w:val="none" w:sz="0" w:space="0" w:color="auto"/>
        <w:left w:val="none" w:sz="0" w:space="0" w:color="auto"/>
        <w:bottom w:val="none" w:sz="0" w:space="0" w:color="auto"/>
        <w:right w:val="none" w:sz="0" w:space="0" w:color="auto"/>
      </w:divBdr>
    </w:div>
    <w:div w:id="1870951718">
      <w:bodyDiv w:val="1"/>
      <w:marLeft w:val="0"/>
      <w:marRight w:val="0"/>
      <w:marTop w:val="0"/>
      <w:marBottom w:val="0"/>
      <w:divBdr>
        <w:top w:val="none" w:sz="0" w:space="0" w:color="auto"/>
        <w:left w:val="none" w:sz="0" w:space="0" w:color="auto"/>
        <w:bottom w:val="none" w:sz="0" w:space="0" w:color="auto"/>
        <w:right w:val="none" w:sz="0" w:space="0" w:color="auto"/>
      </w:divBdr>
    </w:div>
    <w:div w:id="213772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zinische-fakultaeten.de/wp-content/uploads/2017/12/171012_-_finale_fassung_der_empfehlungen_zur_gesamtleistungsrechnung.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linicaltrials.gov" TargetMode="External"/><Relationship Id="rId5" Type="http://schemas.openxmlformats.org/officeDocument/2006/relationships/webSettings" Target="webSettings.xml"/><Relationship Id="rId10" Type="http://schemas.openxmlformats.org/officeDocument/2006/relationships/hyperlink" Target="http://www.icmje.org/icmje-recommendations.pdf" TargetMode="External"/><Relationship Id="rId4" Type="http://schemas.openxmlformats.org/officeDocument/2006/relationships/settings" Target="settings.xml"/><Relationship Id="rId9" Type="http://schemas.openxmlformats.org/officeDocument/2006/relationships/hyperlink" Target="https://www.vfa.de/download/empfehlungen-gesamtleistungsrechnung-dt.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dpma.de/docs/dpma/richtlinienfuerdieverguetungvonarbeitnehmererfindungen.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D5493-46E7-47A5-BAE7-C1BF00B2B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6588</Words>
  <Characters>41506</Characters>
  <Application>Microsoft Office Word</Application>
  <DocSecurity>4</DocSecurity>
  <Lines>345</Lines>
  <Paragraphs>95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47999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Düwert, Dr. Henning</dc:creator>
  <cp:lastModifiedBy>Ruppert, Dr. Thorsten</cp:lastModifiedBy>
  <cp:revision>2</cp:revision>
  <cp:lastPrinted>2023-10-26T12:57:00Z</cp:lastPrinted>
  <dcterms:created xsi:type="dcterms:W3CDTF">2023-10-26T12:59:00Z</dcterms:created>
  <dcterms:modified xsi:type="dcterms:W3CDTF">2023-10-26T12:59:00Z</dcterms:modified>
</cp:coreProperties>
</file>