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06BE" w14:textId="42E6D67F" w:rsidR="00F930BE" w:rsidRPr="00F7410D" w:rsidRDefault="008E5946" w:rsidP="00690F5F">
      <w:pPr>
        <w:jc w:val="center"/>
        <w:rPr>
          <w:rFonts w:ascii="Verdana" w:hAnsi="Verdana"/>
          <w:b/>
        </w:rPr>
      </w:pPr>
      <w:r w:rsidRPr="00F7410D">
        <w:rPr>
          <w:rFonts w:ascii="Verdana" w:hAnsi="Verdana"/>
          <w:b/>
        </w:rPr>
        <w:t xml:space="preserve">Musterklausel für Prüfzentrumsverträge zur Regelung des </w:t>
      </w:r>
      <w:r w:rsidR="00F7410D">
        <w:rPr>
          <w:rFonts w:ascii="Verdana" w:hAnsi="Verdana"/>
          <w:b/>
        </w:rPr>
        <w:br/>
      </w:r>
      <w:r w:rsidRPr="00F7410D">
        <w:rPr>
          <w:rFonts w:ascii="Verdana" w:hAnsi="Verdana"/>
          <w:b/>
        </w:rPr>
        <w:t xml:space="preserve">Verhältnisses Sponsor – Prüfzentrum gemäß den Vorgaben der </w:t>
      </w:r>
      <w:r w:rsidR="00F7410D">
        <w:rPr>
          <w:rFonts w:ascii="Verdana" w:hAnsi="Verdana"/>
          <w:b/>
        </w:rPr>
        <w:br/>
      </w:r>
      <w:r w:rsidRPr="00F7410D">
        <w:rPr>
          <w:rFonts w:ascii="Verdana" w:hAnsi="Verdana"/>
          <w:b/>
        </w:rPr>
        <w:t>EU-Datenschutzgrundverordnung</w:t>
      </w:r>
    </w:p>
    <w:p w14:paraId="7C478993" w14:textId="4A0C5B59" w:rsidR="00F930BE" w:rsidRDefault="008E5946" w:rsidP="00690F5F">
      <w:pPr>
        <w:jc w:val="both"/>
      </w:pPr>
      <w:r>
        <w:t>Anhang</w:t>
      </w:r>
      <w:r w:rsidR="009F05C7">
        <w:t xml:space="preserve"> zu „</w:t>
      </w:r>
      <w:r w:rsidR="009F05C7" w:rsidRPr="009F05C7">
        <w:rPr>
          <w:i/>
          <w:iCs/>
        </w:rPr>
        <w:t>8. Regelung des Verhältnisses Sponsor – Prüfzentrum gemäß den Vorgaben der EU-Datenschutzgrundverordnung</w:t>
      </w:r>
      <w:r w:rsidR="009F05C7">
        <w:t>“</w:t>
      </w:r>
    </w:p>
    <w:p w14:paraId="5F75C7F5" w14:textId="77777777" w:rsidR="00F930BE" w:rsidRDefault="00F930BE" w:rsidP="00690F5F">
      <w:pPr>
        <w:jc w:val="both"/>
      </w:pPr>
    </w:p>
    <w:p w14:paraId="4484F013" w14:textId="7DFBC9D3" w:rsidR="00F930BE" w:rsidRDefault="008E5946" w:rsidP="009C06E7">
      <w:pPr>
        <w:jc w:val="center"/>
        <w:rPr>
          <w:b/>
          <w:sz w:val="24"/>
          <w:szCs w:val="24"/>
        </w:rPr>
      </w:pPr>
      <w:r>
        <w:rPr>
          <w:b/>
          <w:sz w:val="24"/>
          <w:szCs w:val="24"/>
        </w:rPr>
        <w:t xml:space="preserve">VEREINBARUNG ZUR GEMEINSAMEN VERANTWORTLICHKEIT NACH ARTIKEL 26 ABS. 1 SATZ 2, 3, ABS. 2 SATZ 1 </w:t>
      </w:r>
      <w:r w:rsidR="00AF49DF">
        <w:rPr>
          <w:b/>
          <w:sz w:val="24"/>
          <w:szCs w:val="24"/>
        </w:rPr>
        <w:t>DS-GVO</w:t>
      </w:r>
    </w:p>
    <w:p w14:paraId="3AFADC39" w14:textId="77777777" w:rsidR="00F930BE" w:rsidRDefault="00F930BE" w:rsidP="00690F5F">
      <w:pPr>
        <w:jc w:val="both"/>
        <w:rPr>
          <w:b/>
        </w:rPr>
      </w:pPr>
    </w:p>
    <w:p w14:paraId="44DF4FF2" w14:textId="4B1EE0A2" w:rsidR="00F930BE" w:rsidRDefault="008E5946" w:rsidP="00690F5F">
      <w:pPr>
        <w:jc w:val="both"/>
      </w:pPr>
      <w:r>
        <w:t xml:space="preserve">zwischen </w:t>
      </w:r>
    </w:p>
    <w:p w14:paraId="460ADD91" w14:textId="37699D47" w:rsidR="00F930BE" w:rsidRDefault="008E5946" w:rsidP="00690F5F">
      <w:pPr>
        <w:jc w:val="both"/>
      </w:pPr>
      <w:r>
        <w:t>[</w:t>
      </w:r>
      <w:r>
        <w:rPr>
          <w:highlight w:val="yellow"/>
        </w:rPr>
        <w:t>Bitte Name und Anschrift des Sponsors einfügen</w:t>
      </w:r>
      <w:r>
        <w:t>]</w:t>
      </w:r>
      <w:r w:rsidR="00313936">
        <w:rPr>
          <w:rStyle w:val="Funotenzeichen"/>
        </w:rPr>
        <w:footnoteReference w:id="1"/>
      </w:r>
    </w:p>
    <w:p w14:paraId="29E2D7AC" w14:textId="4C9A8129" w:rsidR="00F930BE" w:rsidRDefault="008E5946" w:rsidP="009C06E7">
      <w:pPr>
        <w:jc w:val="right"/>
      </w:pPr>
      <w:r>
        <w:t>- nachfolgend „</w:t>
      </w:r>
      <w:r>
        <w:rPr>
          <w:b/>
        </w:rPr>
        <w:t>Sponsor</w:t>
      </w:r>
      <w:r>
        <w:t>“ genannt –</w:t>
      </w:r>
    </w:p>
    <w:p w14:paraId="7E78ACB5" w14:textId="5E59D5F6" w:rsidR="00F930BE" w:rsidRDefault="00F930BE" w:rsidP="00690F5F">
      <w:pPr>
        <w:jc w:val="both"/>
      </w:pPr>
    </w:p>
    <w:p w14:paraId="7686AA0A" w14:textId="33B205E7" w:rsidR="00F930BE" w:rsidRDefault="008E5946" w:rsidP="00690F5F">
      <w:pPr>
        <w:jc w:val="both"/>
      </w:pPr>
      <w:r>
        <w:t>und</w:t>
      </w:r>
    </w:p>
    <w:p w14:paraId="27363F70" w14:textId="4F9946A9" w:rsidR="00F930BE" w:rsidRDefault="00F930BE" w:rsidP="00690F5F">
      <w:pPr>
        <w:jc w:val="both"/>
      </w:pPr>
    </w:p>
    <w:p w14:paraId="454715AE" w14:textId="12985713" w:rsidR="00130146" w:rsidRDefault="00FE347C" w:rsidP="00690F5F">
      <w:pPr>
        <w:jc w:val="both"/>
      </w:pPr>
      <w:r w:rsidRPr="0054513B">
        <w:rPr>
          <w:highlight w:val="yellow"/>
        </w:rPr>
        <w:t>[Bitte Name und Anschrift de</w:t>
      </w:r>
      <w:r w:rsidR="00757C7D" w:rsidRPr="0054513B">
        <w:rPr>
          <w:highlight w:val="yellow"/>
        </w:rPr>
        <w:t>s</w:t>
      </w:r>
      <w:r w:rsidRPr="0054513B">
        <w:rPr>
          <w:highlight w:val="yellow"/>
        </w:rPr>
        <w:t xml:space="preserve"> </w:t>
      </w:r>
      <w:r w:rsidR="00757C7D" w:rsidRPr="0054513B">
        <w:rPr>
          <w:highlight w:val="yellow"/>
        </w:rPr>
        <w:t>Prüfzentrums</w:t>
      </w:r>
      <w:r w:rsidRPr="0054513B">
        <w:rPr>
          <w:highlight w:val="yellow"/>
        </w:rPr>
        <w:t xml:space="preserve"> einfügen]</w:t>
      </w:r>
    </w:p>
    <w:p w14:paraId="31E8DF45" w14:textId="46676FD9" w:rsidR="00F930BE" w:rsidRDefault="008E5946" w:rsidP="009C06E7">
      <w:pPr>
        <w:jc w:val="right"/>
      </w:pPr>
      <w:r>
        <w:t>- nachfolgend „</w:t>
      </w:r>
      <w:r w:rsidR="00757C7D">
        <w:rPr>
          <w:b/>
        </w:rPr>
        <w:t>Prüfzentrum</w:t>
      </w:r>
      <w:r>
        <w:t>“ genannt –</w:t>
      </w:r>
    </w:p>
    <w:p w14:paraId="4DCA182E" w14:textId="66A2426A" w:rsidR="00F930BE" w:rsidRDefault="00F930BE" w:rsidP="00690F5F">
      <w:pPr>
        <w:jc w:val="both"/>
      </w:pPr>
    </w:p>
    <w:p w14:paraId="5D0E8CCD" w14:textId="093ABC2A" w:rsidR="00F930BE" w:rsidRDefault="008E5946" w:rsidP="00690F5F">
      <w:pPr>
        <w:jc w:val="both"/>
      </w:pPr>
      <w:r>
        <w:t xml:space="preserve">Sponsor und </w:t>
      </w:r>
      <w:r w:rsidR="00757C7D">
        <w:t>Prüfzentrum</w:t>
      </w:r>
      <w:r>
        <w:t xml:space="preserve"> werden im Folgenden auch einzeln als „</w:t>
      </w:r>
      <w:r>
        <w:rPr>
          <w:b/>
        </w:rPr>
        <w:t>Partei</w:t>
      </w:r>
      <w:r>
        <w:t>“ oder gemeinsam als „</w:t>
      </w:r>
      <w:r>
        <w:rPr>
          <w:b/>
        </w:rPr>
        <w:t>Parteien</w:t>
      </w:r>
      <w:r>
        <w:t>“ bezeichnet.</w:t>
      </w:r>
    </w:p>
    <w:p w14:paraId="77E51296" w14:textId="2A06E9F2" w:rsidR="00DB7D82" w:rsidRDefault="00DB7D82" w:rsidP="00690F5F">
      <w:pPr>
        <w:jc w:val="both"/>
      </w:pPr>
    </w:p>
    <w:p w14:paraId="6649C0A7" w14:textId="2D51530D" w:rsidR="00DB7D82" w:rsidRDefault="00A91B43" w:rsidP="00690F5F">
      <w:pPr>
        <w:jc w:val="both"/>
      </w:pPr>
      <w:r>
        <w:t xml:space="preserve">Die Parteien </w:t>
      </w:r>
      <w:r w:rsidR="00E64DC0">
        <w:t>benennen</w:t>
      </w:r>
      <w:r>
        <w:t xml:space="preserve"> für Rückfragen zu dieser Vereinbarung</w:t>
      </w:r>
      <w:r w:rsidR="00932AAE">
        <w:t xml:space="preserve"> folgende</w:t>
      </w:r>
      <w:r>
        <w:t xml:space="preserve"> im Datenschutzrecht kundige Ansprechpartner</w:t>
      </w:r>
      <w:r w:rsidR="005F12FD" w:rsidRPr="005F12FD">
        <w:rPr>
          <w:vertAlign w:val="superscript"/>
        </w:rPr>
        <w:footnoteReference w:id="2"/>
      </w:r>
      <w:r>
        <w:t>:</w:t>
      </w:r>
    </w:p>
    <w:p w14:paraId="012FAA53" w14:textId="04E11E2B" w:rsidR="00F1283B" w:rsidRDefault="00F1283B" w:rsidP="00690F5F">
      <w:pPr>
        <w:jc w:val="both"/>
      </w:pPr>
      <w:r>
        <w:tab/>
      </w:r>
      <w:r w:rsidR="005F12FD">
        <w:t xml:space="preserve">Sponsor: </w:t>
      </w:r>
      <w:r>
        <w:t>[</w:t>
      </w:r>
      <w:r w:rsidRPr="006521DA">
        <w:rPr>
          <w:highlight w:val="yellow"/>
        </w:rPr>
        <w:t>bitte Ansprechpartner und Kontaktdaten der zuständigen Person angeben</w:t>
      </w:r>
      <w:r>
        <w:t>]</w:t>
      </w:r>
    </w:p>
    <w:p w14:paraId="1CA5F331" w14:textId="77777777" w:rsidR="00F1283B" w:rsidRDefault="00F1283B" w:rsidP="00690F5F">
      <w:pPr>
        <w:jc w:val="both"/>
      </w:pPr>
      <w:r>
        <w:tab/>
        <w:t>und</w:t>
      </w:r>
    </w:p>
    <w:p w14:paraId="713DB3CB" w14:textId="34FD06A1" w:rsidR="00A91B43" w:rsidRDefault="00F1283B" w:rsidP="00690F5F">
      <w:pPr>
        <w:jc w:val="both"/>
      </w:pPr>
      <w:r>
        <w:tab/>
      </w:r>
      <w:r w:rsidR="00757C7D">
        <w:t>Prüfzentrum</w:t>
      </w:r>
      <w:r w:rsidR="005F12FD">
        <w:t xml:space="preserve">: </w:t>
      </w:r>
      <w:r>
        <w:t>[</w:t>
      </w:r>
      <w:r w:rsidRPr="006521DA">
        <w:rPr>
          <w:highlight w:val="yellow"/>
        </w:rPr>
        <w:t>bitte Ansprechpartner und Kontaktdaten der zuständigen Person angeben</w:t>
      </w:r>
      <w:r>
        <w:t>].</w:t>
      </w:r>
    </w:p>
    <w:p w14:paraId="123C8A7D" w14:textId="77777777" w:rsidR="00F930BE" w:rsidRDefault="00F930BE" w:rsidP="00690F5F">
      <w:pPr>
        <w:jc w:val="both"/>
      </w:pPr>
    </w:p>
    <w:p w14:paraId="3799941C" w14:textId="77777777" w:rsidR="00F930BE" w:rsidRDefault="008E5946" w:rsidP="00690F5F">
      <w:pPr>
        <w:jc w:val="both"/>
        <w:rPr>
          <w:b/>
        </w:rPr>
      </w:pPr>
      <w:r>
        <w:rPr>
          <w:b/>
        </w:rPr>
        <w:t>Präambel</w:t>
      </w:r>
    </w:p>
    <w:p w14:paraId="19D3C094" w14:textId="43718F54" w:rsidR="00F930BE" w:rsidRDefault="008E5946" w:rsidP="00690F5F">
      <w:pPr>
        <w:jc w:val="both"/>
      </w:pPr>
      <w:r>
        <w:t>Der Sponsor möchte die klinische Studie [</w:t>
      </w:r>
      <w:r>
        <w:rPr>
          <w:highlight w:val="yellow"/>
        </w:rPr>
        <w:t>bitte Bezeichnung der Studie einfügen</w:t>
      </w:r>
      <w:r>
        <w:t>] (nachfolgend „</w:t>
      </w:r>
      <w:r>
        <w:rPr>
          <w:b/>
        </w:rPr>
        <w:t>Studie</w:t>
      </w:r>
      <w:r>
        <w:t>“ genannt)</w:t>
      </w:r>
      <w:r w:rsidR="00A61B30">
        <w:t xml:space="preserve"> </w:t>
      </w:r>
      <w:r>
        <w:t xml:space="preserve">durchführen, </w:t>
      </w:r>
      <w:proofErr w:type="gramStart"/>
      <w:r>
        <w:t>welche Gegenstand</w:t>
      </w:r>
      <w:proofErr w:type="gramEnd"/>
      <w:r>
        <w:t xml:space="preserve"> dieser Vereinbarung ist.</w:t>
      </w:r>
      <w:r w:rsidR="00A61B30">
        <w:t xml:space="preserve"> Details ergeben sich aus dem Prüfprotokoll (Anlage).</w:t>
      </w:r>
      <w:r>
        <w:t xml:space="preserve"> D</w:t>
      </w:r>
      <w:r w:rsidR="00757C7D">
        <w:t>as</w:t>
      </w:r>
      <w:r>
        <w:t xml:space="preserve"> </w:t>
      </w:r>
      <w:r w:rsidR="00757C7D">
        <w:t>Prüfzentrum</w:t>
      </w:r>
      <w:r>
        <w:t xml:space="preserve"> unterstützt den Sponsor bei der Planung und </w:t>
      </w:r>
      <w:r>
        <w:lastRenderedPageBreak/>
        <w:t>Durchführung der Studie und verfügt über entsprechende Kenntnisse, Erfahrungen und Möglichkeiten, die zur Durchführung der Studie erforderlich sind.</w:t>
      </w:r>
    </w:p>
    <w:p w14:paraId="6B8FAF67" w14:textId="53BFB708" w:rsidR="00F930BE" w:rsidRDefault="008E5946" w:rsidP="00690F5F">
      <w:pPr>
        <w:spacing w:after="240" w:line="300" w:lineRule="atLeast"/>
        <w:jc w:val="both"/>
        <w:rPr>
          <w:rFonts w:cs="Arial"/>
          <w:color w:val="000000"/>
        </w:rPr>
      </w:pPr>
      <w:r>
        <w:rPr>
          <w:rFonts w:cs="Arial"/>
          <w:color w:val="000000"/>
        </w:rPr>
        <w:t xml:space="preserve">Im Rahmen der Studie verarbeiten die Parteien personenbezogene Daten. Dabei sind die Parteien gemeinsam Verantwortliche im Sinne von Art. 4 Nr. 7, 26 </w:t>
      </w:r>
      <w:r w:rsidR="00AF49DF">
        <w:rPr>
          <w:rFonts w:cs="Arial"/>
          <w:color w:val="000000"/>
        </w:rPr>
        <w:t>DS-GVO</w:t>
      </w:r>
      <w:r>
        <w:rPr>
          <w:rFonts w:cs="Arial"/>
          <w:color w:val="000000"/>
        </w:rPr>
        <w:t xml:space="preserve">. </w:t>
      </w:r>
    </w:p>
    <w:p w14:paraId="0248E0C2" w14:textId="369C43F5" w:rsidR="00F930BE" w:rsidRDefault="008E5946" w:rsidP="00690F5F">
      <w:pPr>
        <w:spacing w:after="240" w:line="300" w:lineRule="atLeast"/>
        <w:jc w:val="both"/>
        <w:rPr>
          <w:rFonts w:cs="Arial"/>
          <w:color w:val="000000"/>
        </w:rPr>
      </w:pPr>
      <w:r>
        <w:rPr>
          <w:rFonts w:cs="Arial"/>
          <w:color w:val="000000"/>
        </w:rPr>
        <w:t xml:space="preserve">Diese Vereinbarung zur gemeinsamen Verantwortlichkeit gemäß Artikel 26 Abs. 1 Satz 2,3, Abs. 2 Satz 1 </w:t>
      </w:r>
      <w:r w:rsidR="00AF49DF">
        <w:rPr>
          <w:rFonts w:cs="Arial"/>
          <w:color w:val="000000"/>
        </w:rPr>
        <w:t>DS-GVO</w:t>
      </w:r>
      <w:r>
        <w:rPr>
          <w:rFonts w:cs="Arial"/>
          <w:color w:val="000000"/>
        </w:rPr>
        <w:t xml:space="preserve"> (nachfolgend </w:t>
      </w:r>
      <w:r>
        <w:rPr>
          <w:rFonts w:cs="Arial"/>
          <w:b/>
          <w:color w:val="000000"/>
        </w:rPr>
        <w:t>„Vereinbarung“</w:t>
      </w:r>
      <w:r>
        <w:rPr>
          <w:rFonts w:cs="Arial"/>
          <w:color w:val="000000"/>
        </w:rPr>
        <w:t xml:space="preserve"> genannt) regelt die Rechte und Pflichten der Parteien bei der gemeinsamen Verarbeitung personenbezogener Daten. </w:t>
      </w:r>
      <w:r w:rsidRPr="00271E4A">
        <w:rPr>
          <w:rFonts w:cs="Arial"/>
        </w:rPr>
        <w:t>Diese Vereinbarung findet auf alle Tätigkeiten Anwendung, bei denen</w:t>
      </w:r>
      <w:r w:rsidR="007B0D79" w:rsidRPr="00271E4A">
        <w:rPr>
          <w:rFonts w:cs="Arial"/>
        </w:rPr>
        <w:t xml:space="preserve"> im Rahmen dieser Studie</w:t>
      </w:r>
      <w:r w:rsidRPr="00271E4A">
        <w:rPr>
          <w:rFonts w:cs="Arial"/>
        </w:rPr>
        <w:t xml:space="preserve"> </w:t>
      </w:r>
      <w:r w:rsidR="00313936">
        <w:rPr>
          <w:rFonts w:cs="Arial"/>
        </w:rPr>
        <w:t>Mitarbeiter</w:t>
      </w:r>
      <w:r w:rsidR="00313936" w:rsidRPr="00271E4A">
        <w:rPr>
          <w:rFonts w:cs="Arial"/>
        </w:rPr>
        <w:t xml:space="preserve"> </w:t>
      </w:r>
      <w:r w:rsidRPr="00271E4A">
        <w:rPr>
          <w:rFonts w:cs="Arial"/>
        </w:rPr>
        <w:t>der Parteien oder durch sie beauftragte Auftragsverarbeiter personenbezogene Daten für die Verantwortlichen verarbeiten.</w:t>
      </w:r>
      <w:r>
        <w:rPr>
          <w:rFonts w:cs="Arial"/>
        </w:rPr>
        <w:t xml:space="preserve"> Die Parteien haben die Mittel und Zwecke der nachfolgend näher beschriebenen Verarbeitungstätigkeiten gemeinsam festgelegt. </w:t>
      </w:r>
      <w:r>
        <w:rPr>
          <w:rFonts w:cs="Arial"/>
          <w:color w:val="000000"/>
        </w:rPr>
        <w:t xml:space="preserve">Soweit in dieser Vereinbarung verwendete Begriffe nicht anders definiert sind, haben sie die in der </w:t>
      </w:r>
      <w:r w:rsidR="00AF49DF">
        <w:rPr>
          <w:rFonts w:cs="Arial"/>
          <w:color w:val="000000"/>
        </w:rPr>
        <w:t>DS-GVO</w:t>
      </w:r>
      <w:r>
        <w:rPr>
          <w:rFonts w:cs="Arial"/>
          <w:color w:val="000000"/>
        </w:rPr>
        <w:t xml:space="preserve"> festgelegte Bedeutung.</w:t>
      </w:r>
    </w:p>
    <w:p w14:paraId="212F9F0A" w14:textId="77777777" w:rsidR="0034765A" w:rsidRDefault="0034765A" w:rsidP="00690F5F">
      <w:pPr>
        <w:spacing w:after="240" w:line="300" w:lineRule="atLeast"/>
        <w:jc w:val="both"/>
        <w:rPr>
          <w:rFonts w:cs="Arial"/>
          <w:color w:val="000000"/>
        </w:rPr>
      </w:pPr>
    </w:p>
    <w:p w14:paraId="40E319F7" w14:textId="3B74A6DC" w:rsidR="00F930BE" w:rsidRPr="000D27BA" w:rsidRDefault="008E5946" w:rsidP="009C06E7">
      <w:pPr>
        <w:keepNext/>
        <w:spacing w:after="240" w:line="300" w:lineRule="atLeast"/>
        <w:jc w:val="center"/>
        <w:rPr>
          <w:rFonts w:cs="Arial"/>
          <w:b/>
          <w:color w:val="000000"/>
        </w:rPr>
      </w:pPr>
      <w:r w:rsidRPr="000D27BA">
        <w:rPr>
          <w:rFonts w:cs="Arial"/>
          <w:b/>
          <w:color w:val="000000"/>
        </w:rPr>
        <w:t>§ 1</w:t>
      </w:r>
      <w:r w:rsidR="00AB5CEC">
        <w:rPr>
          <w:rFonts w:cs="Arial"/>
          <w:b/>
          <w:color w:val="000000"/>
        </w:rPr>
        <w:t xml:space="preserve"> - Gemeinsame Verantwortlichkeit</w:t>
      </w:r>
    </w:p>
    <w:p w14:paraId="06D8A82E" w14:textId="07E09B0C" w:rsidR="00F5471E" w:rsidRDefault="00873E81" w:rsidP="00690F5F">
      <w:pPr>
        <w:jc w:val="both"/>
      </w:pPr>
      <w:r>
        <w:t>(1)</w:t>
      </w:r>
      <w:r>
        <w:tab/>
      </w:r>
      <w:r w:rsidR="00C75D45" w:rsidRPr="00C75D45">
        <w:t>Soweit nicht nachstehend abweichend vereinbart</w:t>
      </w:r>
      <w:r w:rsidR="00821B2F">
        <w:t>, stellt</w:t>
      </w:r>
      <w:r w:rsidR="00C75D45" w:rsidRPr="00C75D45">
        <w:t xml:space="preserve"> jede Partei </w:t>
      </w:r>
      <w:r w:rsidR="008B0F3B">
        <w:t xml:space="preserve">selbst </w:t>
      </w:r>
      <w:r w:rsidR="00C75D45" w:rsidRPr="00C75D45">
        <w:t>die Einhaltung der gesetzlichen Bestimmungen, insbesondere die Rechtmäßigkeit der durch sie durchgeführten Datenverarbeitungen</w:t>
      </w:r>
      <w:r w:rsidR="00821B2F">
        <w:t>, sicher</w:t>
      </w:r>
      <w:r w:rsidR="00550D5A">
        <w:t>.</w:t>
      </w:r>
    </w:p>
    <w:p w14:paraId="243C65F3" w14:textId="4D9C7FD3" w:rsidR="00F930BE" w:rsidRDefault="00873E81" w:rsidP="009C06E7">
      <w:pPr>
        <w:jc w:val="both"/>
      </w:pPr>
      <w:r>
        <w:t>(2)</w:t>
      </w:r>
      <w:r>
        <w:tab/>
      </w:r>
      <w:r w:rsidR="008E5946">
        <w:t xml:space="preserve">Im Rahmen der gemeinsamen Verantwortlichkeit ist der Sponsor für die Verarbeitung der für die Zwecke der klinischen Prüfung </w:t>
      </w:r>
      <w:r w:rsidR="003F1903">
        <w:t xml:space="preserve">aufgrund </w:t>
      </w:r>
      <w:r w:rsidR="00194E9A">
        <w:t xml:space="preserve">des </w:t>
      </w:r>
      <w:r w:rsidR="003F1903">
        <w:t>Prüfplans</w:t>
      </w:r>
      <w:r w:rsidR="008E5946">
        <w:t xml:space="preserve"> erhobenen und an den Sponsor </w:t>
      </w:r>
      <w:r w:rsidR="00194E9A">
        <w:t xml:space="preserve">weitergegebenen </w:t>
      </w:r>
      <w:r w:rsidR="008E5946">
        <w:t xml:space="preserve">pseudonymisierten Daten, </w:t>
      </w:r>
      <w:r w:rsidR="003A4D30">
        <w:t>die Bereitstellung</w:t>
      </w:r>
      <w:r w:rsidR="001F1D09">
        <w:t xml:space="preserve"> und Sicherheit (Art. 24, 32 DS-GVO)</w:t>
      </w:r>
      <w:r w:rsidR="003A4D30">
        <w:t xml:space="preserve"> des </w:t>
      </w:r>
      <w:proofErr w:type="spellStart"/>
      <w:r w:rsidR="003A4D30">
        <w:t>eCRF</w:t>
      </w:r>
      <w:proofErr w:type="spellEnd"/>
      <w:r w:rsidR="003A4D30">
        <w:t>,</w:t>
      </w:r>
      <w:r w:rsidR="008E5946" w:rsidRPr="00873E81">
        <w:rPr>
          <w:rFonts w:ascii="Verdana" w:hAnsi="Verdana"/>
          <w:color w:val="141414"/>
          <w:sz w:val="18"/>
          <w:szCs w:val="18"/>
          <w:shd w:val="clear" w:color="auto" w:fill="FFFFFF"/>
        </w:rPr>
        <w:t xml:space="preserve"> die </w:t>
      </w:r>
      <w:r w:rsidR="00A97728">
        <w:rPr>
          <w:rFonts w:ascii="Verdana" w:hAnsi="Verdana"/>
          <w:color w:val="141414"/>
          <w:sz w:val="18"/>
          <w:szCs w:val="18"/>
          <w:shd w:val="clear" w:color="auto" w:fill="FFFFFF"/>
        </w:rPr>
        <w:t>Überwachung (Monitoring, Audit vgl. 5.1 des Hauptvertrages) und die Überprüfung</w:t>
      </w:r>
      <w:r w:rsidR="008E5946" w:rsidRPr="00873E81">
        <w:rPr>
          <w:rFonts w:ascii="Verdana" w:hAnsi="Verdana"/>
          <w:color w:val="141414"/>
          <w:sz w:val="18"/>
          <w:szCs w:val="18"/>
          <w:shd w:val="clear" w:color="auto" w:fill="FFFFFF"/>
        </w:rPr>
        <w:t xml:space="preserve"> der ordnungsgemäßen Durchführung der</w:t>
      </w:r>
      <w:r w:rsidR="008E5946">
        <w:t xml:space="preserve"> Studie</w:t>
      </w:r>
      <w:r w:rsidR="003944FD">
        <w:t xml:space="preserve"> </w:t>
      </w:r>
      <w:r w:rsidR="008E5946">
        <w:t xml:space="preserve">zuständig. </w:t>
      </w:r>
      <w:r w:rsidR="003A4D30" w:rsidRPr="003A4D30">
        <w:t xml:space="preserve">Dies schließt auch die </w:t>
      </w:r>
      <w:r w:rsidR="00710A59">
        <w:t>Zuständigkeit</w:t>
      </w:r>
      <w:r w:rsidR="00710A59" w:rsidRPr="003A4D30">
        <w:t xml:space="preserve"> </w:t>
      </w:r>
      <w:r w:rsidR="003A4D30" w:rsidRPr="003A4D30">
        <w:t xml:space="preserve">für einen den Anforderungen des Art. 32 </w:t>
      </w:r>
      <w:r w:rsidR="00AF49DF">
        <w:t>DS-GVO</w:t>
      </w:r>
      <w:r w:rsidR="003A4D30" w:rsidRPr="003A4D30">
        <w:t xml:space="preserve"> entsprechenden Übertragungsweg </w:t>
      </w:r>
      <w:r w:rsidR="00710A59">
        <w:t>zwischen d</w:t>
      </w:r>
      <w:r w:rsidR="00757C7D">
        <w:t>em</w:t>
      </w:r>
      <w:r w:rsidR="00710A59">
        <w:t xml:space="preserve"> </w:t>
      </w:r>
      <w:r w:rsidR="00757C7D">
        <w:t>Prüfzentrum</w:t>
      </w:r>
      <w:r w:rsidR="00710A59">
        <w:t xml:space="preserve"> und dem </w:t>
      </w:r>
      <w:proofErr w:type="spellStart"/>
      <w:r w:rsidR="00710A59">
        <w:t>eCRF</w:t>
      </w:r>
      <w:proofErr w:type="spellEnd"/>
      <w:r w:rsidR="00710A59">
        <w:t xml:space="preserve"> </w:t>
      </w:r>
      <w:r w:rsidR="003A4D30" w:rsidRPr="003A4D30">
        <w:t xml:space="preserve">ein. </w:t>
      </w:r>
    </w:p>
    <w:p w14:paraId="7D10C1B9" w14:textId="24A884AB" w:rsidR="00F747CA" w:rsidRDefault="00873E81" w:rsidP="00690F5F">
      <w:pPr>
        <w:jc w:val="both"/>
      </w:pPr>
      <w:r>
        <w:t>(3)</w:t>
      </w:r>
      <w:r>
        <w:tab/>
      </w:r>
      <w:r w:rsidR="008E5946">
        <w:t>D</w:t>
      </w:r>
      <w:r w:rsidR="00757C7D">
        <w:t>as</w:t>
      </w:r>
      <w:r w:rsidR="008E5946">
        <w:t xml:space="preserve"> </w:t>
      </w:r>
      <w:r w:rsidR="00757C7D">
        <w:t>Prüfzentrum</w:t>
      </w:r>
      <w:r w:rsidR="008E5946">
        <w:t xml:space="preserve"> ist im Rahmen der gemeinsamen Verantwortlichkeit für die Verarbeitung der personenbezogenen Daten in Verbindung mit der Durchführung der Studie zuständig. Dazu gehören insbesondere die Erhebung der Studiendaten, Überwachung und Dokumentation der Reaktion der Patienten auf d</w:t>
      </w:r>
      <w:r w:rsidR="00A20F5A">
        <w:t>a</w:t>
      </w:r>
      <w:r w:rsidR="008E5946">
        <w:t>s studiengegenständliche Arzneimittel, Aufbereitung der gewonnen</w:t>
      </w:r>
      <w:r w:rsidR="003944FD">
        <w:t>en</w:t>
      </w:r>
      <w:r w:rsidR="008E5946">
        <w:t xml:space="preserve"> Erkenntnisse und Weitergabe</w:t>
      </w:r>
      <w:r w:rsidR="0059269E">
        <w:t xml:space="preserve"> per </w:t>
      </w:r>
      <w:proofErr w:type="spellStart"/>
      <w:r w:rsidR="0059269E">
        <w:t>eCRF</w:t>
      </w:r>
      <w:proofErr w:type="spellEnd"/>
      <w:r w:rsidR="008E5946">
        <w:t xml:space="preserve"> an den Sponsor in pseudonymisierter Form sowie Meldung unerwünschter Ereignisse an den Sponsor. </w:t>
      </w:r>
      <w:r w:rsidR="00271E4A" w:rsidRPr="00271E4A">
        <w:t xml:space="preserve">Dies schließt die Zuständigkeit für eine den Anforderungen des Art. 32 DS-GVO entsprechende Verarbeitung bis zur Weitergabe an den </w:t>
      </w:r>
      <w:r w:rsidR="00994E31">
        <w:t>in der Zuständigkeit des</w:t>
      </w:r>
      <w:r w:rsidR="00271E4A" w:rsidRPr="00271E4A">
        <w:t xml:space="preserve"> Sponsor</w:t>
      </w:r>
      <w:r w:rsidR="00994E31">
        <w:t>s</w:t>
      </w:r>
      <w:r w:rsidR="00271E4A" w:rsidRPr="00271E4A">
        <w:t xml:space="preserve"> </w:t>
      </w:r>
      <w:r w:rsidR="00994E31">
        <w:t>liegenden</w:t>
      </w:r>
      <w:r w:rsidR="00271E4A" w:rsidRPr="00271E4A">
        <w:t xml:space="preserve"> Übertragungsweg zwischen de</w:t>
      </w:r>
      <w:r w:rsidR="00757C7D">
        <w:t>m</w:t>
      </w:r>
      <w:r w:rsidR="00271E4A" w:rsidRPr="00271E4A">
        <w:t xml:space="preserve"> </w:t>
      </w:r>
      <w:r w:rsidR="00757C7D">
        <w:t>Prüfzentrum</w:t>
      </w:r>
      <w:r w:rsidR="00271E4A" w:rsidRPr="00271E4A">
        <w:t xml:space="preserve"> und dem </w:t>
      </w:r>
      <w:proofErr w:type="spellStart"/>
      <w:r w:rsidR="00271E4A" w:rsidRPr="00271E4A">
        <w:t>eCRF</w:t>
      </w:r>
      <w:proofErr w:type="spellEnd"/>
      <w:r w:rsidR="00271E4A" w:rsidRPr="00271E4A">
        <w:t xml:space="preserve"> ein. </w:t>
      </w:r>
    </w:p>
    <w:p w14:paraId="7B6116E2" w14:textId="1506AFFD" w:rsidR="00CD2F83" w:rsidRDefault="00F747CA" w:rsidP="00690F5F">
      <w:pPr>
        <w:jc w:val="both"/>
      </w:pPr>
      <w:r>
        <w:t xml:space="preserve">(4) </w:t>
      </w:r>
      <w:r w:rsidR="00873E81">
        <w:tab/>
      </w:r>
      <w:r w:rsidR="00CD2F83">
        <w:t>Tätigkeiten, die vor der</w:t>
      </w:r>
      <w:r w:rsidR="00CD2F83" w:rsidRPr="00CD2F83">
        <w:t xml:space="preserve"> Unterzeichnung des Vertrages zur Durchführung der klinischen Prüfung inklusive dieser Vereinbarung</w:t>
      </w:r>
      <w:r w:rsidR="00CD2F83">
        <w:t xml:space="preserve"> erfolgen</w:t>
      </w:r>
      <w:r w:rsidR="00D77534">
        <w:t>, sind nicht Teil der gemeinsamen Verantwortlichkeit.</w:t>
      </w:r>
    </w:p>
    <w:p w14:paraId="3075D84C" w14:textId="399D147B" w:rsidR="00F930BE" w:rsidRDefault="00D00701" w:rsidP="009C06E7">
      <w:pPr>
        <w:jc w:val="both"/>
        <w:rPr>
          <w:rFonts w:cstheme="minorHAnsi"/>
        </w:rPr>
      </w:pPr>
      <w:r>
        <w:t xml:space="preserve">(5) </w:t>
      </w:r>
      <w:r>
        <w:tab/>
      </w:r>
      <w:r w:rsidR="00F747CA" w:rsidRPr="006611B5">
        <w:rPr>
          <w:rFonts w:cstheme="minorHAnsi"/>
        </w:rPr>
        <w:t xml:space="preserve"> </w:t>
      </w:r>
      <w:r w:rsidR="000E2881">
        <w:rPr>
          <w:rFonts w:cstheme="minorHAnsi"/>
        </w:rPr>
        <w:t>Tätigkeiten, die nach dem</w:t>
      </w:r>
      <w:r w:rsidR="00DE2961" w:rsidRPr="005150C6">
        <w:rPr>
          <w:rFonts w:cstheme="minorHAnsi"/>
        </w:rPr>
        <w:t xml:space="preserve"> Abschluss der im Prüfplan aufgeführten Untersuchungen, </w:t>
      </w:r>
      <w:r w:rsidR="000E2881">
        <w:rPr>
          <w:rFonts w:cstheme="minorHAnsi"/>
        </w:rPr>
        <w:t xml:space="preserve">der </w:t>
      </w:r>
      <w:r w:rsidR="00DE2961" w:rsidRPr="005150C6">
        <w:rPr>
          <w:rFonts w:cstheme="minorHAnsi"/>
        </w:rPr>
        <w:t xml:space="preserve">Übergabe sämtlicher vollständig ausgefüllter </w:t>
      </w:r>
      <w:r w:rsidR="00854B34">
        <w:rPr>
          <w:rFonts w:cstheme="minorHAnsi"/>
        </w:rPr>
        <w:t xml:space="preserve">elektronischer </w:t>
      </w:r>
      <w:r w:rsidR="00DE2961" w:rsidRPr="005150C6">
        <w:rPr>
          <w:rFonts w:cstheme="minorHAnsi"/>
        </w:rPr>
        <w:t>Berichtsbögen (</w:t>
      </w:r>
      <w:proofErr w:type="spellStart"/>
      <w:r w:rsidR="00854B34">
        <w:rPr>
          <w:rFonts w:cstheme="minorHAnsi"/>
        </w:rPr>
        <w:t>e</w:t>
      </w:r>
      <w:r w:rsidR="00DE2961" w:rsidRPr="005150C6">
        <w:rPr>
          <w:rFonts w:cstheme="minorHAnsi"/>
        </w:rPr>
        <w:t>CRF</w:t>
      </w:r>
      <w:proofErr w:type="spellEnd"/>
      <w:r w:rsidR="00DE2961" w:rsidRPr="005150C6">
        <w:rPr>
          <w:rFonts w:cstheme="minorHAnsi"/>
        </w:rPr>
        <w:t xml:space="preserve">) und </w:t>
      </w:r>
      <w:r w:rsidR="000E2881">
        <w:rPr>
          <w:rFonts w:cstheme="minorHAnsi"/>
        </w:rPr>
        <w:t xml:space="preserve">der </w:t>
      </w:r>
      <w:r w:rsidR="00DE2961" w:rsidRPr="005150C6">
        <w:rPr>
          <w:rFonts w:cstheme="minorHAnsi"/>
        </w:rPr>
        <w:t xml:space="preserve">Schließung des Prüfzentrums, inkl. abschließendem Data </w:t>
      </w:r>
      <w:proofErr w:type="spellStart"/>
      <w:r w:rsidR="00DE2961" w:rsidRPr="005150C6">
        <w:rPr>
          <w:rFonts w:cstheme="minorHAnsi"/>
        </w:rPr>
        <w:t>Cleaning</w:t>
      </w:r>
      <w:proofErr w:type="spellEnd"/>
      <w:r w:rsidR="00DE2961" w:rsidRPr="005150C6">
        <w:rPr>
          <w:rFonts w:cstheme="minorHAnsi"/>
        </w:rPr>
        <w:t xml:space="preserve"> und Abschluss der Prüfungs-Datenbank für das </w:t>
      </w:r>
      <w:r w:rsidR="002A6BCA" w:rsidRPr="005150C6">
        <w:rPr>
          <w:rFonts w:cstheme="minorHAnsi"/>
        </w:rPr>
        <w:t>Prüf</w:t>
      </w:r>
      <w:r w:rsidR="00DE2961" w:rsidRPr="005150C6">
        <w:rPr>
          <w:rFonts w:cstheme="minorHAnsi"/>
        </w:rPr>
        <w:t>zentrum</w:t>
      </w:r>
      <w:r w:rsidR="000B5DEB">
        <w:rPr>
          <w:rFonts w:cstheme="minorHAnsi"/>
        </w:rPr>
        <w:t>,</w:t>
      </w:r>
      <w:r w:rsidR="000E2881">
        <w:rPr>
          <w:rFonts w:cstheme="minorHAnsi"/>
        </w:rPr>
        <w:t xml:space="preserve"> erfolgen, sind nicht </w:t>
      </w:r>
      <w:r w:rsidR="006611B5">
        <w:rPr>
          <w:rFonts w:cstheme="minorHAnsi"/>
        </w:rPr>
        <w:t>Teil der</w:t>
      </w:r>
      <w:r w:rsidR="000E2881">
        <w:rPr>
          <w:rFonts w:cstheme="minorHAnsi"/>
        </w:rPr>
        <w:t xml:space="preserve"> </w:t>
      </w:r>
      <w:r w:rsidR="000E2881" w:rsidRPr="000E2881">
        <w:rPr>
          <w:rFonts w:cstheme="minorHAnsi"/>
        </w:rPr>
        <w:t>gemeinsame</w:t>
      </w:r>
      <w:r w:rsidR="000E2881">
        <w:rPr>
          <w:rFonts w:cstheme="minorHAnsi"/>
        </w:rPr>
        <w:t>n</w:t>
      </w:r>
      <w:r w:rsidR="000E2881" w:rsidRPr="000E2881">
        <w:rPr>
          <w:rFonts w:cstheme="minorHAnsi"/>
        </w:rPr>
        <w:t xml:space="preserve"> Verantwortlichkeit</w:t>
      </w:r>
      <w:r w:rsidR="000B5DEB" w:rsidRPr="006611B5">
        <w:rPr>
          <w:rFonts w:cstheme="minorHAnsi"/>
        </w:rPr>
        <w:t>;</w:t>
      </w:r>
      <w:r w:rsidR="000E2881">
        <w:rPr>
          <w:rFonts w:cstheme="minorHAnsi"/>
        </w:rPr>
        <w:t xml:space="preserve"> dazu zähl</w:t>
      </w:r>
      <w:r w:rsidR="00194E9A">
        <w:rPr>
          <w:rFonts w:cstheme="minorHAnsi"/>
        </w:rPr>
        <w:t>en</w:t>
      </w:r>
      <w:r w:rsidR="000E2881">
        <w:rPr>
          <w:rFonts w:cstheme="minorHAnsi"/>
        </w:rPr>
        <w:t xml:space="preserve"> beispielsweise</w:t>
      </w:r>
      <w:r w:rsidR="000E2881" w:rsidRPr="000E2881">
        <w:rPr>
          <w:rFonts w:cstheme="minorHAnsi"/>
        </w:rPr>
        <w:t xml:space="preserve"> </w:t>
      </w:r>
      <w:r w:rsidR="000E2881">
        <w:rPr>
          <w:rFonts w:cstheme="minorHAnsi"/>
        </w:rPr>
        <w:t>die</w:t>
      </w:r>
      <w:r w:rsidR="00194E9A" w:rsidRPr="00194E9A">
        <w:rPr>
          <w:rFonts w:ascii="Verdana" w:hAnsi="Verdana"/>
          <w:color w:val="141414"/>
          <w:sz w:val="18"/>
          <w:szCs w:val="18"/>
          <w:shd w:val="clear" w:color="auto" w:fill="FFFFFF"/>
        </w:rPr>
        <w:t xml:space="preserve"> </w:t>
      </w:r>
      <w:r w:rsidR="00194E9A" w:rsidRPr="00194E9A">
        <w:rPr>
          <w:rFonts w:cstheme="minorHAnsi"/>
        </w:rPr>
        <w:t xml:space="preserve">wissenschaftliche Auswertung sowie die Zulassung des studiengegenständlichen Arzneimittels </w:t>
      </w:r>
      <w:r w:rsidR="00194E9A">
        <w:rPr>
          <w:rFonts w:cstheme="minorHAnsi"/>
        </w:rPr>
        <w:t>oder</w:t>
      </w:r>
      <w:r w:rsidR="006611B5">
        <w:rPr>
          <w:rFonts w:cstheme="minorHAnsi"/>
        </w:rPr>
        <w:t xml:space="preserve"> die</w:t>
      </w:r>
      <w:r w:rsidR="000E2881">
        <w:rPr>
          <w:rFonts w:cstheme="minorHAnsi"/>
        </w:rPr>
        <w:t xml:space="preserve"> </w:t>
      </w:r>
      <w:r w:rsidR="00FC08E5" w:rsidRPr="005150C6">
        <w:rPr>
          <w:rFonts w:cstheme="minorHAnsi"/>
        </w:rPr>
        <w:t xml:space="preserve">Archivierung. </w:t>
      </w:r>
    </w:p>
    <w:p w14:paraId="6C192152" w14:textId="63CF2B98" w:rsidR="008A7CDF" w:rsidRDefault="0062415E" w:rsidP="008A7CDF">
      <w:pPr>
        <w:jc w:val="both"/>
      </w:pPr>
      <w:r>
        <w:lastRenderedPageBreak/>
        <w:t>(</w:t>
      </w:r>
      <w:r w:rsidR="009C06E7">
        <w:t>6</w:t>
      </w:r>
      <w:r>
        <w:t>)</w:t>
      </w:r>
      <w:r>
        <w:tab/>
      </w:r>
      <w:r w:rsidR="008E5946">
        <w:t>Der Sponsor wird de</w:t>
      </w:r>
      <w:r w:rsidR="00757C7D">
        <w:t>m</w:t>
      </w:r>
      <w:r w:rsidR="008E5946">
        <w:t xml:space="preserve"> </w:t>
      </w:r>
      <w:r w:rsidR="00757C7D">
        <w:t>Prüfzentrum</w:t>
      </w:r>
      <w:r w:rsidR="008E5946" w:rsidRPr="000D27BA">
        <w:t xml:space="preserve"> eine von der Ethikkommission geprüfte und in Übereinstimmung mit den Vorgaben der </w:t>
      </w:r>
      <w:r w:rsidR="00AF49DF">
        <w:t>DS-GVO</w:t>
      </w:r>
      <w:r w:rsidR="008E5946" w:rsidRPr="000D27BA">
        <w:t xml:space="preserve"> ausgefertigte </w:t>
      </w:r>
      <w:r w:rsidR="008E5946" w:rsidRPr="0062415E">
        <w:rPr>
          <w:rFonts w:cs="Arial"/>
        </w:rPr>
        <w:t>Informationen zur</w:t>
      </w:r>
      <w:r w:rsidR="009F3C9C" w:rsidRPr="0062415E">
        <w:rPr>
          <w:rFonts w:cs="Arial"/>
        </w:rPr>
        <w:t xml:space="preserve"> prüfplankonformen</w:t>
      </w:r>
      <w:r w:rsidR="008E5946" w:rsidRPr="0062415E">
        <w:rPr>
          <w:rFonts w:cs="Arial"/>
        </w:rPr>
        <w:t xml:space="preserve"> Verarbeitung personenbezogener Daten sowie eine</w:t>
      </w:r>
      <w:r w:rsidR="009F3C9C" w:rsidRPr="0062415E">
        <w:rPr>
          <w:rFonts w:cs="Arial"/>
        </w:rPr>
        <w:t xml:space="preserve"> DS-GVO-konforme</w:t>
      </w:r>
      <w:r w:rsidR="008E5946" w:rsidRPr="0062415E">
        <w:rPr>
          <w:rFonts w:cs="Arial"/>
        </w:rPr>
        <w:t xml:space="preserve"> </w:t>
      </w:r>
      <w:r w:rsidR="008E5946" w:rsidRPr="000D27BA">
        <w:t>Einwilligungserklärung</w:t>
      </w:r>
      <w:r w:rsidR="008E5946">
        <w:t xml:space="preserve"> für die Prüfungsteilnehmer bereitstellen. D</w:t>
      </w:r>
      <w:r w:rsidR="00757C7D">
        <w:t>as</w:t>
      </w:r>
      <w:r w:rsidR="008E5946">
        <w:t xml:space="preserve"> </w:t>
      </w:r>
      <w:r w:rsidR="00757C7D">
        <w:t>Prüfzentrum</w:t>
      </w:r>
      <w:r w:rsidR="008E5946">
        <w:t xml:space="preserve"> wird dem Sponsor die </w:t>
      </w:r>
      <w:r w:rsidR="001C32C4">
        <w:t>aufgrund Prüfplans</w:t>
      </w:r>
      <w:r w:rsidR="008E5946">
        <w:t xml:space="preserve"> und Einwilligungserklärung erforderlichen Daten der Prüfungsteilnehmer</w:t>
      </w:r>
      <w:r w:rsidR="00FA289D">
        <w:t xml:space="preserve"> in pseudonymisierter Form</w:t>
      </w:r>
      <w:r w:rsidR="008E5946">
        <w:t xml:space="preserve"> zur Verfügung stellen.</w:t>
      </w:r>
      <w:r w:rsidR="00F825A8" w:rsidRPr="00F825A8">
        <w:t xml:space="preserve"> D</w:t>
      </w:r>
      <w:r w:rsidR="00757C7D">
        <w:t>as</w:t>
      </w:r>
      <w:r w:rsidR="00F825A8" w:rsidRPr="00F825A8">
        <w:t xml:space="preserve"> </w:t>
      </w:r>
      <w:r w:rsidR="00757C7D">
        <w:t>Prüfzentrum</w:t>
      </w:r>
      <w:r w:rsidR="00F825A8" w:rsidRPr="00F825A8">
        <w:t xml:space="preserve"> ist nicht für die Überprüfung der Einwilligungserklärung zuständig.</w:t>
      </w:r>
    </w:p>
    <w:p w14:paraId="7CEA3064" w14:textId="77777777" w:rsidR="0034765A" w:rsidRDefault="0034765A" w:rsidP="008A7CDF">
      <w:pPr>
        <w:jc w:val="both"/>
      </w:pPr>
    </w:p>
    <w:p w14:paraId="50E95AF2" w14:textId="1DC86320" w:rsidR="00F930BE" w:rsidRPr="000D27BA" w:rsidRDefault="008E5946" w:rsidP="009C06E7">
      <w:pPr>
        <w:keepNext/>
        <w:spacing w:after="240" w:line="300" w:lineRule="atLeast"/>
        <w:jc w:val="center"/>
        <w:rPr>
          <w:rFonts w:cs="Arial"/>
          <w:b/>
          <w:color w:val="000000"/>
        </w:rPr>
      </w:pPr>
      <w:r w:rsidRPr="000D27BA">
        <w:rPr>
          <w:rFonts w:cs="Arial"/>
          <w:b/>
          <w:color w:val="000000"/>
        </w:rPr>
        <w:t xml:space="preserve">§ </w:t>
      </w:r>
      <w:r w:rsidR="00851B2E">
        <w:rPr>
          <w:rFonts w:cs="Arial"/>
          <w:b/>
          <w:color w:val="000000"/>
        </w:rPr>
        <w:t>2</w:t>
      </w:r>
      <w:r w:rsidR="00AB5CEC">
        <w:rPr>
          <w:rFonts w:cs="Arial"/>
          <w:b/>
          <w:color w:val="000000"/>
        </w:rPr>
        <w:t xml:space="preserve"> </w:t>
      </w:r>
      <w:r w:rsidR="0034765A">
        <w:rPr>
          <w:rFonts w:cs="Arial"/>
          <w:b/>
          <w:color w:val="000000"/>
        </w:rPr>
        <w:t>–</w:t>
      </w:r>
      <w:r w:rsidR="00AB5CEC">
        <w:rPr>
          <w:rFonts w:cs="Arial"/>
          <w:b/>
          <w:color w:val="000000"/>
        </w:rPr>
        <w:t xml:space="preserve"> Information der Betroffenen</w:t>
      </w:r>
    </w:p>
    <w:p w14:paraId="3DDE8F6B" w14:textId="033115F9" w:rsidR="00F930BE" w:rsidRDefault="008E5946" w:rsidP="00690F5F">
      <w:pPr>
        <w:autoSpaceDE w:val="0"/>
        <w:autoSpaceDN w:val="0"/>
        <w:adjustRightInd w:val="0"/>
        <w:jc w:val="both"/>
        <w:rPr>
          <w:rFonts w:cs="Arial"/>
        </w:rPr>
      </w:pPr>
      <w:r>
        <w:rPr>
          <w:rFonts w:cs="Arial"/>
        </w:rPr>
        <w:t xml:space="preserve">Die Parteien </w:t>
      </w:r>
      <w:r w:rsidR="00304E35">
        <w:rPr>
          <w:rFonts w:cs="Arial"/>
        </w:rPr>
        <w:t>sind gesetzlich verpflichtet</w:t>
      </w:r>
      <w:r>
        <w:rPr>
          <w:rFonts w:cs="Arial"/>
        </w:rPr>
        <w:t>,</w:t>
      </w:r>
      <w:r w:rsidR="00304E35">
        <w:rPr>
          <w:rFonts w:cs="Arial"/>
        </w:rPr>
        <w:t xml:space="preserve"> </w:t>
      </w:r>
      <w:r w:rsidR="001C32C4">
        <w:rPr>
          <w:rFonts w:cs="Arial"/>
        </w:rPr>
        <w:t>den betroffenen</w:t>
      </w:r>
      <w:r>
        <w:rPr>
          <w:rFonts w:cs="Arial"/>
        </w:rPr>
        <w:t xml:space="preserve"> Person</w:t>
      </w:r>
      <w:r w:rsidR="00304E35">
        <w:rPr>
          <w:rFonts w:cs="Arial"/>
        </w:rPr>
        <w:t>en</w:t>
      </w:r>
      <w:r>
        <w:rPr>
          <w:rFonts w:cs="Arial"/>
        </w:rPr>
        <w:t xml:space="preserve"> die gemäß Art. 13 und 14 </w:t>
      </w:r>
      <w:r w:rsidR="00AF49DF">
        <w:rPr>
          <w:rFonts w:cs="Arial"/>
        </w:rPr>
        <w:t>DS-GVO</w:t>
      </w:r>
      <w:r>
        <w:rPr>
          <w:rFonts w:cs="Arial"/>
        </w:rPr>
        <w:t xml:space="preserve"> erforderlichen Informationen</w:t>
      </w:r>
      <w:r w:rsidR="00B84B66">
        <w:rPr>
          <w:rFonts w:cs="Arial"/>
        </w:rPr>
        <w:t xml:space="preserve"> sowie die wesentlichen Inhalte dieser Vereinbarung</w:t>
      </w:r>
      <w:r>
        <w:rPr>
          <w:rFonts w:cs="Arial"/>
        </w:rPr>
        <w:t xml:space="preserve"> in präziser, transparenter, </w:t>
      </w:r>
      <w:r w:rsidR="004D7043">
        <w:rPr>
          <w:rFonts w:cs="Arial"/>
        </w:rPr>
        <w:t>laien</w:t>
      </w:r>
      <w:r>
        <w:rPr>
          <w:rFonts w:cs="Arial"/>
        </w:rPr>
        <w:t>verständlicher</w:t>
      </w:r>
      <w:r w:rsidR="004D7043">
        <w:rPr>
          <w:rFonts w:cs="Arial"/>
        </w:rPr>
        <w:t xml:space="preserve"> Sprache</w:t>
      </w:r>
      <w:r>
        <w:rPr>
          <w:rFonts w:cs="Arial"/>
        </w:rPr>
        <w:t xml:space="preserve"> und leicht zugänglicher Form unentgeltlich zur Verfügung zu stellen.</w:t>
      </w:r>
      <w:r w:rsidR="00F825A8" w:rsidRPr="00F825A8">
        <w:t xml:space="preserve"> </w:t>
      </w:r>
      <w:r w:rsidR="00F825A8" w:rsidRPr="00F825A8">
        <w:rPr>
          <w:rFonts w:cs="Arial"/>
        </w:rPr>
        <w:t>Diese Informationen sind Bestandteil der vom Sponsor zu erstellenden Patienteninformation.</w:t>
      </w:r>
      <w:r>
        <w:rPr>
          <w:rFonts w:cs="Arial"/>
        </w:rPr>
        <w:t xml:space="preserve"> Die Parteien sind sich einig, dass d</w:t>
      </w:r>
      <w:r w:rsidR="00757C7D">
        <w:rPr>
          <w:rFonts w:cs="Arial"/>
        </w:rPr>
        <w:t>as</w:t>
      </w:r>
      <w:r>
        <w:rPr>
          <w:rFonts w:cs="Arial"/>
        </w:rPr>
        <w:t xml:space="preserve"> </w:t>
      </w:r>
      <w:r w:rsidR="00757C7D">
        <w:rPr>
          <w:rFonts w:cs="Arial"/>
        </w:rPr>
        <w:t>Prüfzentrum</w:t>
      </w:r>
      <w:r w:rsidR="00A155D1">
        <w:rPr>
          <w:rFonts w:cs="Arial"/>
        </w:rPr>
        <w:t>,</w:t>
      </w:r>
      <w:r>
        <w:rPr>
          <w:rFonts w:cs="Arial"/>
        </w:rPr>
        <w:t xml:space="preserve"> die </w:t>
      </w:r>
      <w:r w:rsidRPr="000D27BA">
        <w:rPr>
          <w:rFonts w:cs="Arial"/>
        </w:rPr>
        <w:t>vom Sponsor zur Verfügung gestellten Informationen</w:t>
      </w:r>
      <w:r>
        <w:rPr>
          <w:rFonts w:cs="Arial"/>
        </w:rPr>
        <w:t xml:space="preserve"> zur Verarbeitung personenbezogener Daten</w:t>
      </w:r>
      <w:r w:rsidR="006611B5" w:rsidRPr="006611B5">
        <w:rPr>
          <w:rFonts w:cs="Arial"/>
        </w:rPr>
        <w:t xml:space="preserve"> den Patienten</w:t>
      </w:r>
      <w:r>
        <w:rPr>
          <w:rFonts w:cs="Arial"/>
        </w:rPr>
        <w:t xml:space="preserve"> bereits bei der Erhebung der personenbezogenen Daten bereitstellt. </w:t>
      </w:r>
      <w:r w:rsidR="00F825A8">
        <w:rPr>
          <w:rFonts w:cs="Arial"/>
        </w:rPr>
        <w:t>D</w:t>
      </w:r>
      <w:r w:rsidR="00757C7D">
        <w:rPr>
          <w:rFonts w:cs="Arial"/>
        </w:rPr>
        <w:t>as</w:t>
      </w:r>
      <w:r w:rsidR="00F825A8">
        <w:rPr>
          <w:rFonts w:cs="Arial"/>
        </w:rPr>
        <w:t xml:space="preserve"> </w:t>
      </w:r>
      <w:r w:rsidR="00757C7D">
        <w:rPr>
          <w:rFonts w:cs="Arial"/>
        </w:rPr>
        <w:t>Prüfzentrum</w:t>
      </w:r>
      <w:r w:rsidR="00F825A8" w:rsidRPr="00F825A8">
        <w:rPr>
          <w:rFonts w:cs="Arial"/>
        </w:rPr>
        <w:t xml:space="preserve"> ist nicht verpflichtet, die </w:t>
      </w:r>
      <w:r w:rsidR="00304E35">
        <w:rPr>
          <w:rFonts w:cs="Arial"/>
        </w:rPr>
        <w:t xml:space="preserve">vom Sponsor zur Verfügung gestellten </w:t>
      </w:r>
      <w:r w:rsidR="00F825A8" w:rsidRPr="00F825A8">
        <w:rPr>
          <w:rFonts w:cs="Arial"/>
        </w:rPr>
        <w:t>Informationen auf Rechtskonformität zu prüfen.</w:t>
      </w:r>
    </w:p>
    <w:p w14:paraId="180583F7" w14:textId="77777777" w:rsidR="008A7CDF" w:rsidRDefault="008A7CDF" w:rsidP="00690F5F">
      <w:pPr>
        <w:autoSpaceDE w:val="0"/>
        <w:autoSpaceDN w:val="0"/>
        <w:adjustRightInd w:val="0"/>
        <w:jc w:val="both"/>
        <w:rPr>
          <w:rFonts w:cs="Arial"/>
        </w:rPr>
      </w:pPr>
    </w:p>
    <w:p w14:paraId="1E30E034" w14:textId="2B8F9499" w:rsidR="00F930BE" w:rsidRPr="008E5946" w:rsidRDefault="008E5946" w:rsidP="009C06E7">
      <w:pPr>
        <w:keepNext/>
        <w:spacing w:after="240" w:line="300" w:lineRule="atLeast"/>
        <w:jc w:val="center"/>
        <w:rPr>
          <w:rFonts w:cs="Arial"/>
          <w:b/>
          <w:color w:val="000000"/>
        </w:rPr>
      </w:pPr>
      <w:r w:rsidRPr="008E5946">
        <w:rPr>
          <w:rFonts w:cs="Arial"/>
          <w:b/>
          <w:color w:val="000000"/>
        </w:rPr>
        <w:t xml:space="preserve">§ </w:t>
      </w:r>
      <w:r w:rsidR="00851B2E">
        <w:rPr>
          <w:rFonts w:cs="Arial"/>
          <w:b/>
          <w:color w:val="000000"/>
        </w:rPr>
        <w:t>3</w:t>
      </w:r>
      <w:r w:rsidR="00AB5CEC">
        <w:rPr>
          <w:rFonts w:cs="Arial"/>
          <w:b/>
          <w:color w:val="000000"/>
        </w:rPr>
        <w:t xml:space="preserve"> </w:t>
      </w:r>
      <w:r w:rsidR="0034765A">
        <w:rPr>
          <w:rFonts w:cs="Arial"/>
          <w:b/>
          <w:color w:val="000000"/>
        </w:rPr>
        <w:t>–</w:t>
      </w:r>
      <w:r w:rsidR="00AB5CEC">
        <w:rPr>
          <w:rFonts w:cs="Arial"/>
          <w:b/>
          <w:color w:val="000000"/>
        </w:rPr>
        <w:t xml:space="preserve"> Rechte der Betroffenen</w:t>
      </w:r>
    </w:p>
    <w:p w14:paraId="729E1F4B" w14:textId="1B275130" w:rsidR="0040708E" w:rsidRDefault="0062415E" w:rsidP="00690F5F">
      <w:pPr>
        <w:jc w:val="both"/>
      </w:pPr>
      <w:r>
        <w:t>(1)</w:t>
      </w:r>
      <w:r>
        <w:tab/>
      </w:r>
      <w:r w:rsidR="008E5946" w:rsidRPr="00B92EE1">
        <w:t xml:space="preserve">Betroffene Personen können die ihnen aus Art. 15 bis 22 </w:t>
      </w:r>
      <w:r w:rsidR="00AF49DF">
        <w:t>DS-GVO</w:t>
      </w:r>
      <w:r w:rsidR="008E5946" w:rsidRPr="00B92EE1">
        <w:t xml:space="preserve"> zustehenden Rechte gegenüber allen Parteien geltend machen</w:t>
      </w:r>
      <w:bookmarkStart w:id="0" w:name="_Hlk38892024"/>
      <w:r w:rsidR="008E5946" w:rsidRPr="001C32C4">
        <w:t>, wobei d</w:t>
      </w:r>
      <w:r w:rsidR="00757C7D">
        <w:t>as</w:t>
      </w:r>
      <w:r w:rsidR="008E5946" w:rsidRPr="001C32C4">
        <w:t xml:space="preserve"> </w:t>
      </w:r>
      <w:r w:rsidR="00757C7D">
        <w:t>Prüfzentrum</w:t>
      </w:r>
      <w:r w:rsidR="008E5946" w:rsidRPr="001C32C4">
        <w:t xml:space="preserve"> den betroffenen Personen als primäre Kontaktstelle angeboten wird</w:t>
      </w:r>
      <w:bookmarkEnd w:id="0"/>
      <w:r w:rsidR="008E5946" w:rsidRPr="00B92EE1">
        <w:t>.</w:t>
      </w:r>
      <w:r w:rsidR="00C75D45" w:rsidRPr="00C75D45">
        <w:t xml:space="preserve"> </w:t>
      </w:r>
      <w:r w:rsidR="00104B5B" w:rsidRPr="00B92EE1">
        <w:t xml:space="preserve"> </w:t>
      </w:r>
      <w:r w:rsidR="000156D9">
        <w:t xml:space="preserve">Sofern eine betroffene Person dem Sponsor gegenüber ihre Betroffenenrechte </w:t>
      </w:r>
      <w:r w:rsidR="008F6922">
        <w:t xml:space="preserve">geltend macht, verweist dieser generell </w:t>
      </w:r>
      <w:r w:rsidR="001344EA">
        <w:t xml:space="preserve">auf die ausgehändigte Patienteninformation und </w:t>
      </w:r>
      <w:r w:rsidR="008F6922">
        <w:t>an d</w:t>
      </w:r>
      <w:r w:rsidR="00757C7D">
        <w:t>as</w:t>
      </w:r>
      <w:r w:rsidR="008F6922">
        <w:t xml:space="preserve"> </w:t>
      </w:r>
      <w:r w:rsidR="00757C7D">
        <w:t>Prüfzentrum</w:t>
      </w:r>
      <w:r w:rsidR="008F6922">
        <w:t>, die primäre Kontaktstelle zur Wahrung der Betroffenenrechte sein soll.</w:t>
      </w:r>
    </w:p>
    <w:p w14:paraId="65835AC2" w14:textId="7E88429B" w:rsidR="00ED4AE7" w:rsidRDefault="0062415E" w:rsidP="00690F5F">
      <w:pPr>
        <w:jc w:val="both"/>
      </w:pPr>
      <w:r>
        <w:t>(2)</w:t>
      </w:r>
      <w:r>
        <w:tab/>
      </w:r>
      <w:r w:rsidR="00104B5B" w:rsidRPr="0040708E">
        <w:t>Die Parteien unterstützen sich gegenseitig bei der Erfüllung der Betroffenenrechte unter Wahrung der Pseudonymisierung.</w:t>
      </w:r>
      <w:r w:rsidR="0040708E" w:rsidRPr="0040708E">
        <w:t xml:space="preserve"> </w:t>
      </w:r>
      <w:r w:rsidR="0040708E" w:rsidRPr="00B92EE1">
        <w:t>Die</w:t>
      </w:r>
      <w:r w:rsidR="0040708E" w:rsidRPr="0040708E">
        <w:t xml:space="preserve"> Parteien stellen sich bei Bedarf die erforderlichen Informationen aus ihrem jeweiligen </w:t>
      </w:r>
      <w:r w:rsidR="00BB37E8">
        <w:t>Zuständigkeits</w:t>
      </w:r>
      <w:r w:rsidR="00BB37E8" w:rsidRPr="0040708E">
        <w:t>bereich</w:t>
      </w:r>
      <w:r w:rsidR="00BB37E8">
        <w:t xml:space="preserve"> </w:t>
      </w:r>
      <w:r w:rsidR="001C32C4" w:rsidRPr="0040708E">
        <w:t>gegenseitig</w:t>
      </w:r>
      <w:r w:rsidR="0040708E" w:rsidRPr="0040708E">
        <w:t xml:space="preserve"> zur Verfügung. Dies soll möglichst in pseudonymisierter Form anhand der studienspezifischen Identifikationsnummer erfolgen.</w:t>
      </w:r>
    </w:p>
    <w:p w14:paraId="5D986244" w14:textId="33301CBC" w:rsidR="00B92EE1" w:rsidRDefault="0062415E" w:rsidP="00690F5F">
      <w:pPr>
        <w:jc w:val="both"/>
      </w:pPr>
      <w:r>
        <w:t>(3)</w:t>
      </w:r>
      <w:r>
        <w:tab/>
      </w:r>
      <w:r w:rsidR="0040708E" w:rsidRPr="0040708E">
        <w:t xml:space="preserve">Im Übrigen sind </w:t>
      </w:r>
      <w:r w:rsidR="0040708E">
        <w:t xml:space="preserve">die </w:t>
      </w:r>
      <w:r w:rsidR="0040708E" w:rsidRPr="0040708E">
        <w:t>Parteien für die Umsetzung und Befolgung der Betroffenenrechte hinsichtlich der bei ihnen oder ihren Auftragnehmern verarbeiteten Daten selbst zuständig.</w:t>
      </w:r>
    </w:p>
    <w:p w14:paraId="3B85DA65" w14:textId="2D7C3184" w:rsidR="00B92EE1" w:rsidRPr="00B92EE1" w:rsidRDefault="0062415E" w:rsidP="00690F5F">
      <w:pPr>
        <w:jc w:val="both"/>
      </w:pPr>
      <w:r>
        <w:t>(4)</w:t>
      </w:r>
      <w:r>
        <w:tab/>
      </w:r>
      <w:r w:rsidR="00B92EE1" w:rsidRPr="00B92EE1">
        <w:t xml:space="preserve">Sollen personenbezogene Daten </w:t>
      </w:r>
      <w:r w:rsidR="00B92EE1">
        <w:t xml:space="preserve">gem. Art. 17 </w:t>
      </w:r>
      <w:r w:rsidR="00AF49DF">
        <w:t>DS-GVO</w:t>
      </w:r>
      <w:r w:rsidR="00B92EE1">
        <w:t xml:space="preserve"> </w:t>
      </w:r>
      <w:r w:rsidR="00B92EE1" w:rsidRPr="00B92EE1">
        <w:t>gelöscht werden, informieren sich die Parteien zuvor gegenseitig. Die</w:t>
      </w:r>
      <w:r w:rsidR="00B92EE1">
        <w:t xml:space="preserve"> jeweils</w:t>
      </w:r>
      <w:r w:rsidR="00B92EE1" w:rsidRPr="00B92EE1">
        <w:t xml:space="preserve"> andere Partei k</w:t>
      </w:r>
      <w:r w:rsidR="00B92EE1">
        <w:t>ann</w:t>
      </w:r>
      <w:r w:rsidR="00B92EE1" w:rsidRPr="00B92EE1">
        <w:t xml:space="preserve"> der Löschung aus berechtigtem Grund widersprechen, etwa sofern sie eine gesetzliche Aufbewahrungspflicht trifft. Ausnahmetatbestände zur Löschung </w:t>
      </w:r>
      <w:r w:rsidR="00821B2F">
        <w:t>könn</w:t>
      </w:r>
      <w:r w:rsidR="00B92EE1" w:rsidRPr="00B92EE1">
        <w:t>en</w:t>
      </w:r>
      <w:r w:rsidR="00B92EE1">
        <w:t xml:space="preserve"> insbesondere</w:t>
      </w:r>
      <w:r w:rsidR="00B92EE1" w:rsidRPr="00B92EE1">
        <w:t xml:space="preserve"> beim Widerruf der Einwilligung durch die betroffene Person</w:t>
      </w:r>
      <w:r w:rsidR="00821B2F">
        <w:t xml:space="preserve"> gegeben sein</w:t>
      </w:r>
      <w:r w:rsidR="00B92EE1" w:rsidRPr="00B92EE1">
        <w:t xml:space="preserve">, </w:t>
      </w:r>
      <w:r w:rsidR="00821B2F">
        <w:t xml:space="preserve">etwa </w:t>
      </w:r>
      <w:r w:rsidR="00B92EE1" w:rsidRPr="00B92EE1">
        <w:t>wenn die gespeicherten personenbezogenen Daten weiterhin erforderlich sind, um Wirkungen des zu prüfenden Arzneimittels festzustellen, um sicherzustellen, dass schutzwürdige Interessen der betroffenen Person nicht beeinträchtigt werden, um der Pflicht zur Vorlage vollständiger Zulassungsunterlagen zu genügen oder um Rechtsansprüche auszuüben oder geltend zu machen.</w:t>
      </w:r>
    </w:p>
    <w:p w14:paraId="695DCF61" w14:textId="2F20250F" w:rsidR="00F930BE" w:rsidRDefault="00F930BE" w:rsidP="00690F5F">
      <w:pPr>
        <w:jc w:val="both"/>
      </w:pPr>
    </w:p>
    <w:p w14:paraId="7365C0F8" w14:textId="3E44807B" w:rsidR="00F930BE" w:rsidRDefault="008E5946" w:rsidP="009C06E7">
      <w:pPr>
        <w:keepNext/>
        <w:spacing w:after="240" w:line="300" w:lineRule="atLeast"/>
        <w:jc w:val="center"/>
      </w:pPr>
      <w:r w:rsidRPr="001328F5">
        <w:rPr>
          <w:rFonts w:cs="Arial"/>
          <w:b/>
          <w:color w:val="000000"/>
        </w:rPr>
        <w:lastRenderedPageBreak/>
        <w:t xml:space="preserve">§ </w:t>
      </w:r>
      <w:r w:rsidR="00851B2E">
        <w:rPr>
          <w:rFonts w:cs="Arial"/>
          <w:b/>
          <w:color w:val="000000"/>
        </w:rPr>
        <w:t>4</w:t>
      </w:r>
      <w:r w:rsidR="00AB5CEC">
        <w:rPr>
          <w:rFonts w:cs="Arial"/>
          <w:b/>
          <w:color w:val="000000"/>
        </w:rPr>
        <w:t xml:space="preserve"> </w:t>
      </w:r>
      <w:r w:rsidR="0034765A">
        <w:rPr>
          <w:rFonts w:cs="Arial"/>
          <w:b/>
          <w:color w:val="000000"/>
        </w:rPr>
        <w:t>–</w:t>
      </w:r>
      <w:r w:rsidR="00AB5CEC">
        <w:rPr>
          <w:rFonts w:cs="Arial"/>
          <w:b/>
          <w:color w:val="000000"/>
        </w:rPr>
        <w:t xml:space="preserve"> Unregelmäßigkeiten, Datenschutzverletzungen und Zweifel an der Rechtmäßigkeit</w:t>
      </w:r>
    </w:p>
    <w:p w14:paraId="3E47C1F2" w14:textId="74C2ECF6" w:rsidR="00BB672F" w:rsidRDefault="00BB672F" w:rsidP="00690F5F">
      <w:pPr>
        <w:jc w:val="both"/>
      </w:pPr>
      <w:r>
        <w:t>(1)</w:t>
      </w:r>
      <w:r w:rsidR="00A66C53">
        <w:tab/>
      </w:r>
      <w:r w:rsidRPr="00BB672F">
        <w:t xml:space="preserve">Die Parteien informieren sich gegenseitig unverzüglich und vollständig, wenn sie bei der Prüfung der Verarbeitungstätigkeiten nach dieser Vereinbarung Fehler oder Unregelmäßigkeiten hinsichtlich datenschutzrechtlicher Bestimmungen feststellen. </w:t>
      </w:r>
    </w:p>
    <w:p w14:paraId="21A8D2C5" w14:textId="14F807AD" w:rsidR="00F930BE" w:rsidRDefault="00BB672F" w:rsidP="00690F5F">
      <w:pPr>
        <w:jc w:val="both"/>
      </w:pPr>
      <w:r>
        <w:t>(2)</w:t>
      </w:r>
      <w:r w:rsidR="00A66C53">
        <w:tab/>
      </w:r>
      <w:r w:rsidR="00B84B66">
        <w:t xml:space="preserve">Die </w:t>
      </w:r>
      <w:r w:rsidR="008E5946">
        <w:t xml:space="preserve">Parteien </w:t>
      </w:r>
      <w:r w:rsidR="00B84B66">
        <w:t xml:space="preserve">sind für </w:t>
      </w:r>
      <w:r w:rsidR="008E5946">
        <w:t xml:space="preserve">die aus Art. 33, 34 </w:t>
      </w:r>
      <w:r w:rsidR="00AF49DF">
        <w:t>DS-GVO</w:t>
      </w:r>
      <w:r w:rsidR="008E5946">
        <w:t xml:space="preserve"> resultierenden Melde- und Benachrichtigungspflichten gegenüber der Aufsichtsbehörde und den von einer Verletzung des Schutzes personenbezogener Daten betroffenen Personen für ihren jeweiligen </w:t>
      </w:r>
      <w:r w:rsidR="00ED4AE7">
        <w:t xml:space="preserve">Zuständigkeitsbereich </w:t>
      </w:r>
      <w:r>
        <w:t>(vgl. § 1)</w:t>
      </w:r>
      <w:r w:rsidR="00B84B66">
        <w:t xml:space="preserve"> </w:t>
      </w:r>
      <w:r w:rsidR="000C765B">
        <w:t>zuständig</w:t>
      </w:r>
      <w:r w:rsidR="008E5946">
        <w:t>. Die Parteien informieren sich unverzüglich gegenseitig über die Meldung von Verletzungen des Schutzes personenbezogener Daten</w:t>
      </w:r>
      <w:r w:rsidR="00B84B66">
        <w:t xml:space="preserve"> im Rahmen der gegenständlichen klinischen Prüfung</w:t>
      </w:r>
      <w:r w:rsidR="008E5946">
        <w:t xml:space="preserve"> an die Aufsichtsbehörde und leiten sich die zur Durchführung der Meldung erforderlichen Informationen jeweils unverzüglich zu.</w:t>
      </w:r>
    </w:p>
    <w:p w14:paraId="14F9B97A" w14:textId="5174B7E8" w:rsidR="00AB5CEC" w:rsidRDefault="00AB5CEC" w:rsidP="00AB5CEC">
      <w:pPr>
        <w:jc w:val="both"/>
        <w:rPr>
          <w:rFonts w:cs="Arial"/>
        </w:rPr>
      </w:pPr>
      <w:r w:rsidRPr="003A4D30">
        <w:rPr>
          <w:rFonts w:cs="Arial"/>
        </w:rPr>
        <w:t>(3)</w:t>
      </w:r>
      <w:r w:rsidRPr="003A4D30">
        <w:rPr>
          <w:rFonts w:cs="Arial"/>
        </w:rPr>
        <w:tab/>
        <w:t xml:space="preserve">Die Parteien sind berechtigt, der jeweils anderen Partei keine weiteren personenbezogenen Daten mehr zur Verfügung zu stellen oder zu übermitteln, wenn und </w:t>
      </w:r>
      <w:proofErr w:type="spellStart"/>
      <w:r w:rsidRPr="003A4D30">
        <w:rPr>
          <w:rFonts w:cs="Arial"/>
        </w:rPr>
        <w:t>so weit</w:t>
      </w:r>
      <w:proofErr w:type="spellEnd"/>
      <w:r w:rsidRPr="003A4D30">
        <w:rPr>
          <w:rFonts w:cs="Arial"/>
        </w:rPr>
        <w:t xml:space="preserve"> Zweifel an einer Rechtsgrundlage hierfür bestehen. Dies kann sich insbesondere ergeben, wenn veränderte rechtliche oder tatsächliche Umstände zu einer neuen rechtlichen Bewertung führen, wie z.B. das erstmalige oder veränderte Erfordernis einer </w:t>
      </w:r>
      <w:r>
        <w:rPr>
          <w:rFonts w:cs="Arial"/>
        </w:rPr>
        <w:t>Rechtsgrundlage</w:t>
      </w:r>
      <w:r w:rsidRPr="003A4D30">
        <w:rPr>
          <w:rFonts w:cs="Arial"/>
        </w:rPr>
        <w:t xml:space="preserve"> nach Art. 44ff. </w:t>
      </w:r>
      <w:r>
        <w:rPr>
          <w:rFonts w:cs="Arial"/>
        </w:rPr>
        <w:t>DS-GVO</w:t>
      </w:r>
      <w:r w:rsidRPr="003A4D30">
        <w:rPr>
          <w:rFonts w:cs="Arial"/>
        </w:rPr>
        <w:t xml:space="preserve"> oder eine verwendete Einwilligungserklärung die Verarbeitung nicht rechtfertigt. Solche Umstände können sich auch aus behördlichen oder gerichtlichen Verfügungen sowie Veröffentlichungen der Aufsichtsbehörden ergeben. In den Fällen dieses Absatzes werden die Parteien darauf hinwirken, die Rechtsgrundlage zu klären und ggf. eine dem wissenschaftlichen Ziel möglichst nahekommende Regelung (Rechtsgrundlage) zu treffen.</w:t>
      </w:r>
    </w:p>
    <w:p w14:paraId="6CE467BF" w14:textId="77777777" w:rsidR="0034765A" w:rsidRDefault="0034765A" w:rsidP="00AB5CEC">
      <w:pPr>
        <w:jc w:val="both"/>
        <w:rPr>
          <w:rFonts w:cs="Arial"/>
        </w:rPr>
      </w:pPr>
    </w:p>
    <w:p w14:paraId="00C79CC1" w14:textId="0D7421C9" w:rsidR="00F930BE" w:rsidRPr="001328F5" w:rsidRDefault="008E5946" w:rsidP="009C06E7">
      <w:pPr>
        <w:keepNext/>
        <w:spacing w:after="240" w:line="300" w:lineRule="atLeast"/>
        <w:jc w:val="center"/>
        <w:rPr>
          <w:rFonts w:cs="Arial"/>
          <w:b/>
          <w:color w:val="000000"/>
        </w:rPr>
      </w:pPr>
      <w:r w:rsidRPr="001328F5">
        <w:rPr>
          <w:rFonts w:cs="Arial"/>
          <w:b/>
          <w:color w:val="000000"/>
        </w:rPr>
        <w:t xml:space="preserve">§ </w:t>
      </w:r>
      <w:r w:rsidR="00851B2E">
        <w:rPr>
          <w:rFonts w:cs="Arial"/>
          <w:b/>
          <w:color w:val="000000"/>
        </w:rPr>
        <w:t>5</w:t>
      </w:r>
      <w:r w:rsidR="00AB5CEC">
        <w:rPr>
          <w:rFonts w:cs="Arial"/>
          <w:b/>
          <w:color w:val="000000"/>
        </w:rPr>
        <w:t xml:space="preserve"> - Datenschutzfolgenabschätzungen</w:t>
      </w:r>
    </w:p>
    <w:p w14:paraId="04D5394F" w14:textId="0A08801A" w:rsidR="00F930BE" w:rsidRDefault="009F5F2F" w:rsidP="00690F5F">
      <w:pPr>
        <w:jc w:val="both"/>
        <w:rPr>
          <w:rFonts w:eastAsia="Calibri" w:cs="Arial"/>
        </w:rPr>
      </w:pPr>
      <w:r>
        <w:rPr>
          <w:rFonts w:eastAsia="Calibri" w:cs="Arial"/>
        </w:rPr>
        <w:t>Die Parteien stellen in ihrem</w:t>
      </w:r>
      <w:r w:rsidR="00932414">
        <w:rPr>
          <w:rFonts w:eastAsia="Calibri" w:cs="Arial"/>
        </w:rPr>
        <w:t xml:space="preserve"> jeweiligen </w:t>
      </w:r>
      <w:r w:rsidR="00094774">
        <w:rPr>
          <w:rFonts w:eastAsia="Calibri" w:cs="Arial"/>
        </w:rPr>
        <w:t>Zuständigkeits</w:t>
      </w:r>
      <w:r w:rsidR="00932414">
        <w:rPr>
          <w:rFonts w:eastAsia="Calibri" w:cs="Arial"/>
        </w:rPr>
        <w:t>bereich</w:t>
      </w:r>
      <w:r>
        <w:rPr>
          <w:rFonts w:eastAsia="Calibri" w:cs="Arial"/>
        </w:rPr>
        <w:t xml:space="preserve"> </w:t>
      </w:r>
      <w:r w:rsidR="00094774">
        <w:rPr>
          <w:rFonts w:eastAsia="Calibri" w:cs="Arial"/>
        </w:rPr>
        <w:t>(vgl. § 1)</w:t>
      </w:r>
      <w:r w:rsidRPr="009F5F2F">
        <w:rPr>
          <w:rFonts w:eastAsia="Calibri" w:cs="Arial"/>
        </w:rPr>
        <w:t xml:space="preserve"> </w:t>
      </w:r>
      <w:r>
        <w:rPr>
          <w:rFonts w:eastAsia="Calibri" w:cs="Arial"/>
        </w:rPr>
        <w:t>sicher, dass Datenschutzfolgenabschätzungen</w:t>
      </w:r>
      <w:r w:rsidR="008E5946">
        <w:rPr>
          <w:rFonts w:eastAsia="Calibri" w:cs="Arial"/>
        </w:rPr>
        <w:t xml:space="preserve"> gemäß Art. 35 </w:t>
      </w:r>
      <w:r w:rsidR="00AF49DF">
        <w:rPr>
          <w:rFonts w:eastAsia="Calibri" w:cs="Arial"/>
        </w:rPr>
        <w:t>DS-GVO</w:t>
      </w:r>
      <w:r>
        <w:rPr>
          <w:rFonts w:eastAsia="Calibri" w:cs="Arial"/>
        </w:rPr>
        <w:t xml:space="preserve"> vorliegen</w:t>
      </w:r>
      <w:r w:rsidR="00AB5CEC">
        <w:rPr>
          <w:rFonts w:eastAsia="Calibri" w:cs="Arial"/>
        </w:rPr>
        <w:t>, sofern diese erforderlich sind</w:t>
      </w:r>
      <w:r>
        <w:rPr>
          <w:rFonts w:eastAsia="Calibri" w:cs="Arial"/>
        </w:rPr>
        <w:t>.</w:t>
      </w:r>
      <w:r w:rsidR="008E5946">
        <w:rPr>
          <w:rFonts w:eastAsia="Calibri" w:cs="Arial"/>
        </w:rPr>
        <w:t xml:space="preserve"> </w:t>
      </w:r>
      <w:r>
        <w:rPr>
          <w:rFonts w:eastAsia="Calibri" w:cs="Arial"/>
        </w:rPr>
        <w:t>D</w:t>
      </w:r>
      <w:r w:rsidR="008E5946">
        <w:rPr>
          <w:rFonts w:eastAsia="Calibri" w:cs="Arial"/>
        </w:rPr>
        <w:t>ie Parteien</w:t>
      </w:r>
      <w:r w:rsidR="00D27426">
        <w:rPr>
          <w:rFonts w:eastAsia="Calibri" w:cs="Arial"/>
        </w:rPr>
        <w:t xml:space="preserve"> </w:t>
      </w:r>
      <w:r w:rsidR="00D27426" w:rsidRPr="00D27426">
        <w:rPr>
          <w:rFonts w:eastAsia="Calibri" w:cs="Arial"/>
        </w:rPr>
        <w:t>unterstützen sich</w:t>
      </w:r>
      <w:r>
        <w:rPr>
          <w:rFonts w:eastAsia="Calibri" w:cs="Arial"/>
        </w:rPr>
        <w:t xml:space="preserve"> hierbei</w:t>
      </w:r>
      <w:r w:rsidR="008E5946">
        <w:rPr>
          <w:rFonts w:eastAsia="Calibri" w:cs="Arial"/>
        </w:rPr>
        <w:t xml:space="preserve"> gegenseitig</w:t>
      </w:r>
      <w:r>
        <w:rPr>
          <w:rFonts w:eastAsia="Calibri" w:cs="Arial"/>
        </w:rPr>
        <w:t xml:space="preserve"> soweit erforderlich</w:t>
      </w:r>
      <w:r w:rsidR="008E5946">
        <w:rPr>
          <w:rFonts w:eastAsia="Calibri" w:cs="Arial"/>
        </w:rPr>
        <w:t>.</w:t>
      </w:r>
      <w:r w:rsidR="00100371">
        <w:rPr>
          <w:rStyle w:val="Funotenzeichen"/>
          <w:rFonts w:eastAsia="Calibri" w:cs="Arial"/>
        </w:rPr>
        <w:footnoteReference w:id="3"/>
      </w:r>
      <w:r w:rsidR="003D0DB5">
        <w:rPr>
          <w:rFonts w:eastAsia="Calibri" w:cs="Arial"/>
        </w:rPr>
        <w:t xml:space="preserve"> </w:t>
      </w:r>
    </w:p>
    <w:p w14:paraId="03045117" w14:textId="77777777" w:rsidR="00F930BE" w:rsidRDefault="00F930BE" w:rsidP="00690F5F">
      <w:pPr>
        <w:jc w:val="both"/>
        <w:rPr>
          <w:rFonts w:eastAsia="Calibri" w:cs="Arial"/>
        </w:rPr>
      </w:pPr>
    </w:p>
    <w:p w14:paraId="57A77F9B" w14:textId="2BAF5462" w:rsidR="00F930BE" w:rsidRPr="001328F5" w:rsidRDefault="008E5946" w:rsidP="009C06E7">
      <w:pPr>
        <w:keepNext/>
        <w:spacing w:after="240" w:line="300" w:lineRule="atLeast"/>
        <w:jc w:val="center"/>
        <w:rPr>
          <w:rFonts w:cs="Arial"/>
          <w:b/>
          <w:color w:val="000000"/>
        </w:rPr>
      </w:pPr>
      <w:r w:rsidRPr="001328F5">
        <w:rPr>
          <w:rFonts w:cs="Arial"/>
          <w:b/>
          <w:color w:val="000000"/>
        </w:rPr>
        <w:t xml:space="preserve">§ </w:t>
      </w:r>
      <w:r w:rsidR="00851B2E">
        <w:rPr>
          <w:rFonts w:cs="Arial"/>
          <w:b/>
          <w:color w:val="000000"/>
        </w:rPr>
        <w:t>6</w:t>
      </w:r>
      <w:r w:rsidR="00AB5CEC">
        <w:rPr>
          <w:rFonts w:cs="Arial"/>
          <w:b/>
          <w:color w:val="000000"/>
        </w:rPr>
        <w:t xml:space="preserve"> – Aufbewahrung von Dokumentation</w:t>
      </w:r>
    </w:p>
    <w:p w14:paraId="4FD74A3C" w14:textId="6B8AE193" w:rsidR="00F930BE" w:rsidRDefault="008E5946" w:rsidP="00690F5F">
      <w:pPr>
        <w:jc w:val="both"/>
        <w:rPr>
          <w:rFonts w:eastAsia="Calibri" w:cs="Arial"/>
        </w:rPr>
      </w:pPr>
      <w:r>
        <w:rPr>
          <w:rFonts w:eastAsia="Calibri" w:cs="Arial"/>
        </w:rPr>
        <w:t xml:space="preserve">Dokumentationen im Sinne von Art. 5 Abs. 2 </w:t>
      </w:r>
      <w:r w:rsidR="00AF49DF">
        <w:rPr>
          <w:rFonts w:eastAsia="Calibri" w:cs="Arial"/>
        </w:rPr>
        <w:t>DS-GVO</w:t>
      </w:r>
      <w:r>
        <w:rPr>
          <w:rFonts w:eastAsia="Calibri" w:cs="Arial"/>
        </w:rPr>
        <w:t>, die dem Nachweis der ordnungsgemäßen Datenverarbeitung dienen, werden durch jede Partei entsprechend den rechtlichen Befugnissen und Verpflichtungen über das Vertragsende hinaus aufbewahrt.</w:t>
      </w:r>
    </w:p>
    <w:p w14:paraId="1147AE8D" w14:textId="77777777" w:rsidR="00F930BE" w:rsidRDefault="00F930BE" w:rsidP="00690F5F">
      <w:pPr>
        <w:jc w:val="both"/>
        <w:rPr>
          <w:rFonts w:eastAsia="Calibri" w:cs="Arial"/>
        </w:rPr>
      </w:pPr>
    </w:p>
    <w:p w14:paraId="06000708" w14:textId="0ADAB558" w:rsidR="00F930BE" w:rsidRPr="001328F5" w:rsidRDefault="008E5946" w:rsidP="009C06E7">
      <w:pPr>
        <w:keepNext/>
        <w:spacing w:after="240" w:line="300" w:lineRule="atLeast"/>
        <w:jc w:val="center"/>
        <w:rPr>
          <w:rFonts w:cs="Arial"/>
          <w:b/>
          <w:color w:val="000000"/>
        </w:rPr>
      </w:pPr>
      <w:r w:rsidRPr="001328F5">
        <w:rPr>
          <w:rFonts w:cs="Arial"/>
          <w:b/>
          <w:color w:val="000000"/>
        </w:rPr>
        <w:t xml:space="preserve">§ </w:t>
      </w:r>
      <w:r w:rsidR="00851B2E">
        <w:rPr>
          <w:rFonts w:cs="Arial"/>
          <w:b/>
          <w:color w:val="000000"/>
        </w:rPr>
        <w:t>7</w:t>
      </w:r>
      <w:r w:rsidR="00AB5CEC">
        <w:rPr>
          <w:rFonts w:cs="Arial"/>
          <w:b/>
          <w:color w:val="000000"/>
        </w:rPr>
        <w:t xml:space="preserve"> – Vertraulichkeit und Datensicherheit</w:t>
      </w:r>
    </w:p>
    <w:p w14:paraId="3581AC83" w14:textId="1D36C3AF" w:rsidR="00F930BE" w:rsidRDefault="00873E81" w:rsidP="00F247BE">
      <w:pPr>
        <w:jc w:val="both"/>
      </w:pPr>
      <w:r>
        <w:t xml:space="preserve">(1) </w:t>
      </w:r>
      <w:r>
        <w:tab/>
      </w:r>
      <w:r w:rsidR="008E5946">
        <w:t xml:space="preserve">Die Parteien stellen innerhalb ihres </w:t>
      </w:r>
      <w:r w:rsidR="00ED4AE7">
        <w:t>Zuständigkeitsbereiches</w:t>
      </w:r>
      <w:r w:rsidR="008E5946">
        <w:t xml:space="preserve"> sicher, dass alle mit der Datenverarbeitung befassten Mitarbeitenden die Vertraulichkeit der Daten gemäß den Artikeln 29 und 32 </w:t>
      </w:r>
      <w:r w:rsidR="00AF49DF">
        <w:t>DS-GVO</w:t>
      </w:r>
      <w:r w:rsidR="004C2211">
        <w:t xml:space="preserve"> sowie gem. § 203 StGB</w:t>
      </w:r>
      <w:r w:rsidR="00AB5CEC">
        <w:t xml:space="preserve">, </w:t>
      </w:r>
      <w:r w:rsidR="00AB5CEC" w:rsidRPr="00AB5CEC">
        <w:t>sowie bei ausländischen Partner einem vergleichbaren Standard des Geheimnisschutzes,</w:t>
      </w:r>
      <w:r w:rsidR="008E5946">
        <w:t xml:space="preserve"> für die Zeit ihrer Tätigkeit wie auch nach Beendigung des Beschäftigungsverhältnisses wahren und dass diese vor Aufnahme ihrer Tätigkeit entsprechend auf </w:t>
      </w:r>
      <w:r w:rsidR="008E5946">
        <w:lastRenderedPageBreak/>
        <w:t>das Datengeheimnis verpflichtet sowie in die für sie relevanten Bestimmungen zum Datenschutz eingewiesen werden.</w:t>
      </w:r>
    </w:p>
    <w:p w14:paraId="3DC1D6D4" w14:textId="5C279302" w:rsidR="00F930BE" w:rsidRDefault="00873E81" w:rsidP="00F247BE">
      <w:pPr>
        <w:jc w:val="both"/>
      </w:pPr>
      <w:r>
        <w:t>(2)</w:t>
      </w:r>
      <w:r>
        <w:tab/>
      </w:r>
      <w:r w:rsidR="008E5946">
        <w:t xml:space="preserve">Die Parteien haben eigenständig dafür Sorge zu tragen, dass sie sämtliche in Bezug auf die Daten bestehenden gesetzlichen Aufbewahrungspflichten einhalten. Sie haben hierzu angemessene Datensicherheitsvorkehrungen (Art. 32 ff. </w:t>
      </w:r>
      <w:r w:rsidR="00AF49DF">
        <w:t>DS-GVO</w:t>
      </w:r>
      <w:r w:rsidR="008E5946">
        <w:t>) zu treffen. Dies gilt insbesondere im Falle der Beendigung der Zusammenarbeit.</w:t>
      </w:r>
    </w:p>
    <w:p w14:paraId="505B622D" w14:textId="6ED62907" w:rsidR="00F930BE" w:rsidRDefault="00873E81" w:rsidP="00690F5F">
      <w:pPr>
        <w:jc w:val="both"/>
      </w:pPr>
      <w:r>
        <w:t>(3)</w:t>
      </w:r>
      <w:r>
        <w:tab/>
      </w:r>
      <w:r w:rsidR="008E5946">
        <w:t xml:space="preserve">Die Implementierung, Voreinstellung und der Betrieb der genutzten Systeme zur Datenverarbeitung sind unter Beachtung der Vorgaben der </w:t>
      </w:r>
      <w:r w:rsidR="00AF49DF">
        <w:t>DS-GVO</w:t>
      </w:r>
      <w:r w:rsidR="008E5946">
        <w:t xml:space="preserve"> und anderer Regelungswerke, insbesondere unter Beachtung der Grundsätze des Datenschutzes durch Design und datenschutzfreundliche Voreinstellungen sowie unter Verwendung von dem Stand der Technik entsprechenden geeigneten technischen und organisatorischen Maßnahmen durchzuführen.</w:t>
      </w:r>
    </w:p>
    <w:p w14:paraId="5CD2260C" w14:textId="77777777" w:rsidR="00F930BE" w:rsidRDefault="00F930BE" w:rsidP="00690F5F">
      <w:pPr>
        <w:jc w:val="both"/>
      </w:pPr>
    </w:p>
    <w:p w14:paraId="050A8210" w14:textId="0F49F9D4" w:rsidR="00F930BE" w:rsidRPr="001328F5" w:rsidRDefault="008E5946" w:rsidP="009C06E7">
      <w:pPr>
        <w:keepNext/>
        <w:spacing w:after="240" w:line="300" w:lineRule="atLeast"/>
        <w:jc w:val="center"/>
        <w:rPr>
          <w:rFonts w:cs="Arial"/>
          <w:b/>
          <w:color w:val="000000"/>
        </w:rPr>
      </w:pPr>
      <w:r w:rsidRPr="001328F5">
        <w:rPr>
          <w:rFonts w:cs="Arial"/>
          <w:b/>
          <w:color w:val="000000"/>
        </w:rPr>
        <w:t xml:space="preserve">§ </w:t>
      </w:r>
      <w:r w:rsidR="00851B2E">
        <w:rPr>
          <w:rFonts w:cs="Arial"/>
          <w:b/>
          <w:color w:val="000000"/>
        </w:rPr>
        <w:t>8</w:t>
      </w:r>
      <w:r w:rsidR="00AB5CEC">
        <w:rPr>
          <w:rFonts w:cs="Arial"/>
          <w:b/>
          <w:color w:val="000000"/>
        </w:rPr>
        <w:t xml:space="preserve"> - Auftragsverarbeiter</w:t>
      </w:r>
    </w:p>
    <w:p w14:paraId="34873EEE" w14:textId="61B64BE3" w:rsidR="008A7CDF" w:rsidRDefault="008E5946" w:rsidP="008A7CDF">
      <w:pPr>
        <w:jc w:val="both"/>
        <w:rPr>
          <w:color w:val="000000" w:themeColor="text1"/>
        </w:rPr>
      </w:pPr>
      <w:r>
        <w:t xml:space="preserve">Die Parteien verpflichten sich, beim Einsatz von Auftragsverarbeitern im Anwendungsbereich dieser Vereinbarung einen Vertrag nach Art. 28 </w:t>
      </w:r>
      <w:r w:rsidR="00AF49DF">
        <w:t>DS-GVO</w:t>
      </w:r>
      <w:r>
        <w:t xml:space="preserve"> abzuschließen. </w:t>
      </w:r>
      <w:r w:rsidR="003D0DB5" w:rsidRPr="003D0DB5">
        <w:t>Handlungen und Verarbeitungen von Auftragnehmern einer Partei sind dieser Partei zuzurechnen.</w:t>
      </w:r>
      <w:r w:rsidR="00B84AFA" w:rsidRPr="00B84AFA">
        <w:t xml:space="preserve"> </w:t>
      </w:r>
      <w:r w:rsidR="00B84AFA">
        <w:t>D</w:t>
      </w:r>
      <w:r w:rsidR="00B84AFA" w:rsidRPr="00B84AFA">
        <w:t xml:space="preserve">ie Einhaltung </w:t>
      </w:r>
      <w:r w:rsidR="00B84AFA">
        <w:t>etwaiger</w:t>
      </w:r>
      <w:r w:rsidR="00B84AFA" w:rsidRPr="00B84AFA">
        <w:t xml:space="preserve"> zusätzliche</w:t>
      </w:r>
      <w:r w:rsidR="00B84AFA">
        <w:t>r</w:t>
      </w:r>
      <w:r w:rsidR="00B84AFA" w:rsidRPr="00B84AFA">
        <w:t xml:space="preserve"> Voraussetzungen des </w:t>
      </w:r>
      <w:r w:rsidR="005A7D1A">
        <w:t>5</w:t>
      </w:r>
      <w:r w:rsidR="00B84AFA" w:rsidRPr="00B84AFA">
        <w:t>. Kapitels der DS</w:t>
      </w:r>
      <w:r w:rsidR="00B84AFA">
        <w:t>-</w:t>
      </w:r>
      <w:r w:rsidR="00B84AFA" w:rsidRPr="00B84AFA">
        <w:t xml:space="preserve">GVO wird durch die den Auftragsverarbeiter beauftragende Partei </w:t>
      </w:r>
      <w:r w:rsidR="00B84AFA" w:rsidRPr="007E72F4">
        <w:rPr>
          <w:color w:val="000000" w:themeColor="text1"/>
        </w:rPr>
        <w:t>sichergestellt.</w:t>
      </w:r>
    </w:p>
    <w:p w14:paraId="517C29B1" w14:textId="3CADC4EE" w:rsidR="00F930BE" w:rsidRPr="001328F5" w:rsidRDefault="008E5946" w:rsidP="009C06E7">
      <w:pPr>
        <w:keepNext/>
        <w:spacing w:after="240" w:line="300" w:lineRule="atLeast"/>
        <w:jc w:val="center"/>
        <w:rPr>
          <w:rFonts w:cs="Arial"/>
          <w:b/>
          <w:color w:val="000000"/>
        </w:rPr>
      </w:pPr>
      <w:r w:rsidRPr="001328F5">
        <w:rPr>
          <w:rFonts w:cs="Arial"/>
          <w:b/>
          <w:color w:val="000000"/>
        </w:rPr>
        <w:t xml:space="preserve">§ </w:t>
      </w:r>
      <w:r w:rsidR="00851B2E">
        <w:rPr>
          <w:rFonts w:cs="Arial"/>
          <w:b/>
          <w:color w:val="000000"/>
        </w:rPr>
        <w:t>9</w:t>
      </w:r>
      <w:r w:rsidR="00AB5CEC">
        <w:rPr>
          <w:rFonts w:cs="Arial"/>
          <w:b/>
          <w:color w:val="000000"/>
        </w:rPr>
        <w:t xml:space="preserve"> - Verarbeitungsverzeichnis</w:t>
      </w:r>
    </w:p>
    <w:p w14:paraId="23584E35" w14:textId="5E1C1229" w:rsidR="00F930BE" w:rsidRDefault="008E5946" w:rsidP="00690F5F">
      <w:pPr>
        <w:jc w:val="both"/>
        <w:rPr>
          <w:rFonts w:eastAsia="Calibri" w:cs="Arial"/>
        </w:rPr>
      </w:pPr>
      <w:r>
        <w:rPr>
          <w:rFonts w:eastAsia="Calibri" w:cs="Arial"/>
        </w:rPr>
        <w:t xml:space="preserve">Die Parteien nehmen die Verarbeitungstätigkeiten in </w:t>
      </w:r>
      <w:r w:rsidR="000D4155">
        <w:rPr>
          <w:rFonts w:eastAsia="Calibri" w:cs="Arial"/>
        </w:rPr>
        <w:t xml:space="preserve">ihre jeweiligen </w:t>
      </w:r>
      <w:r>
        <w:rPr>
          <w:rFonts w:eastAsia="Calibri" w:cs="Arial"/>
        </w:rPr>
        <w:t>Verarbeitungsverzeichnis</w:t>
      </w:r>
      <w:r w:rsidR="000D4155">
        <w:rPr>
          <w:rFonts w:eastAsia="Calibri" w:cs="Arial"/>
        </w:rPr>
        <w:t>se</w:t>
      </w:r>
      <w:r>
        <w:rPr>
          <w:rFonts w:eastAsia="Calibri" w:cs="Arial"/>
        </w:rPr>
        <w:t xml:space="preserve"> nach Art. 30 Abs. 1 </w:t>
      </w:r>
      <w:r w:rsidR="00AF49DF">
        <w:rPr>
          <w:rFonts w:eastAsia="Calibri" w:cs="Arial"/>
        </w:rPr>
        <w:t>DS-GVO</w:t>
      </w:r>
      <w:r>
        <w:rPr>
          <w:rFonts w:eastAsia="Calibri" w:cs="Arial"/>
        </w:rPr>
        <w:t xml:space="preserve"> auf, auch und insbesondere mit einem Vermerk zur Natur des Verarbeitungsverfahrens in gemeinsamer oder alleiniger Verantwortung.</w:t>
      </w:r>
    </w:p>
    <w:p w14:paraId="0DBD181B" w14:textId="77777777" w:rsidR="00F930BE" w:rsidRDefault="00F930BE" w:rsidP="00690F5F">
      <w:pPr>
        <w:jc w:val="both"/>
        <w:rPr>
          <w:rFonts w:eastAsia="Calibri" w:cs="Arial"/>
        </w:rPr>
      </w:pPr>
    </w:p>
    <w:p w14:paraId="2A5276E9" w14:textId="2D55746F" w:rsidR="00F930BE" w:rsidRDefault="008E5946" w:rsidP="009C06E7">
      <w:pPr>
        <w:keepNext/>
        <w:spacing w:after="240" w:line="300" w:lineRule="atLeast"/>
        <w:jc w:val="center"/>
        <w:rPr>
          <w:rFonts w:cs="Arial"/>
          <w:b/>
          <w:color w:val="000000"/>
        </w:rPr>
      </w:pPr>
      <w:r w:rsidRPr="001328F5">
        <w:rPr>
          <w:rFonts w:cs="Arial"/>
          <w:b/>
          <w:color w:val="000000"/>
        </w:rPr>
        <w:t xml:space="preserve">§ </w:t>
      </w:r>
      <w:r w:rsidR="00851B2E">
        <w:rPr>
          <w:rFonts w:cs="Arial"/>
          <w:b/>
          <w:color w:val="000000"/>
        </w:rPr>
        <w:t>10</w:t>
      </w:r>
      <w:r w:rsidR="00DF4144">
        <w:rPr>
          <w:rStyle w:val="Funotenzeichen"/>
          <w:rFonts w:cs="Arial"/>
          <w:b/>
          <w:color w:val="000000"/>
        </w:rPr>
        <w:footnoteReference w:id="4"/>
      </w:r>
      <w:r w:rsidR="00AB5CEC">
        <w:rPr>
          <w:rFonts w:cs="Arial"/>
          <w:b/>
          <w:color w:val="000000"/>
        </w:rPr>
        <w:t xml:space="preserve"> - Dauer und Kündigung</w:t>
      </w:r>
    </w:p>
    <w:p w14:paraId="6465230A" w14:textId="753F9E7F" w:rsidR="003A4D30" w:rsidRPr="003A4D30" w:rsidRDefault="00DF4144" w:rsidP="00690F5F">
      <w:pPr>
        <w:jc w:val="both"/>
        <w:rPr>
          <w:rFonts w:cs="Arial"/>
        </w:rPr>
      </w:pPr>
      <w:r>
        <w:rPr>
          <w:rFonts w:cs="Arial"/>
        </w:rPr>
        <w:t xml:space="preserve">(1)   </w:t>
      </w:r>
      <w:r>
        <w:rPr>
          <w:rFonts w:cs="Arial"/>
        </w:rPr>
        <w:tab/>
      </w:r>
      <w:r w:rsidR="008E5946">
        <w:rPr>
          <w:rFonts w:cs="Arial"/>
        </w:rPr>
        <w:t xml:space="preserve">Diese </w:t>
      </w:r>
      <w:r w:rsidR="008E5946" w:rsidRPr="001328F5">
        <w:rPr>
          <w:rFonts w:eastAsia="Calibri" w:cs="Arial"/>
        </w:rPr>
        <w:t>Vereinbarung</w:t>
      </w:r>
      <w:r w:rsidR="008E5946">
        <w:rPr>
          <w:rFonts w:cs="Arial"/>
        </w:rPr>
        <w:t xml:space="preserve"> zur gemeinsamen Verantwortlichkeit gilt für die Dauer der Durchführung der Studie.</w:t>
      </w:r>
      <w:r w:rsidR="003A4D30" w:rsidRPr="003A4D30">
        <w:t xml:space="preserve"> </w:t>
      </w:r>
      <w:r w:rsidR="003A4D30" w:rsidRPr="003A4D30">
        <w:rPr>
          <w:rFonts w:cs="Arial"/>
        </w:rPr>
        <w:t>Die gesonderte ordentliche Kündigung dieser Vereinbarung ist ausgeschlossen. Das Recht zur Kündigung aus wichtigem Grund bleibt unberührt.</w:t>
      </w:r>
    </w:p>
    <w:p w14:paraId="30C9EA15" w14:textId="24B0681F" w:rsidR="003A4D30" w:rsidRPr="003A4D30" w:rsidRDefault="003A4D30" w:rsidP="00690F5F">
      <w:pPr>
        <w:jc w:val="both"/>
        <w:rPr>
          <w:rFonts w:cs="Arial"/>
        </w:rPr>
      </w:pPr>
      <w:r w:rsidRPr="003A4D30">
        <w:rPr>
          <w:rFonts w:cs="Arial"/>
        </w:rPr>
        <w:t>(2)</w:t>
      </w:r>
      <w:r w:rsidRPr="003A4D30">
        <w:rPr>
          <w:rFonts w:cs="Arial"/>
        </w:rPr>
        <w:tab/>
        <w:t>Die Parteien können den Hauptvertrag und diese Vereinbarung jederzeit ohne Einhaltung einer Frist kündigen („außerordentliche Kündigung“), wenn ein schwerwiegender oder fortgesetzter Verstoß der anderen Partei gegen Datenschutzvorschriften oder die Bestimmungen dieser Vereinbarung vorliegt. Ein schwerwiegender Verstoß liegt insbesondere vor, wenn eine Partei die in dieser Vereinbarung bestimmten Pflichten, insbesondere die vereinbarten technischen und organisatorischen Maßnahmen in erheblichem Maße nicht erfüllt oder nicht erfüllt hat.</w:t>
      </w:r>
    </w:p>
    <w:p w14:paraId="33FD3795" w14:textId="77777777" w:rsidR="003D0DB5" w:rsidRDefault="003D0DB5" w:rsidP="00690F5F">
      <w:pPr>
        <w:jc w:val="both"/>
        <w:rPr>
          <w:rFonts w:cs="Arial"/>
        </w:rPr>
      </w:pPr>
    </w:p>
    <w:p w14:paraId="7932A4DF" w14:textId="0E55402B" w:rsidR="003D0DB5" w:rsidRPr="00F63279" w:rsidRDefault="003D0DB5" w:rsidP="009C06E7">
      <w:pPr>
        <w:keepNext/>
        <w:spacing w:after="240" w:line="300" w:lineRule="atLeast"/>
        <w:jc w:val="center"/>
        <w:rPr>
          <w:rFonts w:cs="Arial"/>
          <w:b/>
          <w:color w:val="000000"/>
        </w:rPr>
      </w:pPr>
      <w:r w:rsidRPr="00F63279">
        <w:rPr>
          <w:rFonts w:cs="Arial"/>
          <w:b/>
          <w:color w:val="000000"/>
        </w:rPr>
        <w:lastRenderedPageBreak/>
        <w:t xml:space="preserve">§ </w:t>
      </w:r>
      <w:r w:rsidR="00851B2E">
        <w:rPr>
          <w:rFonts w:cs="Arial"/>
          <w:b/>
          <w:color w:val="000000"/>
        </w:rPr>
        <w:t>11</w:t>
      </w:r>
      <w:r w:rsidR="00AB5CEC">
        <w:rPr>
          <w:rFonts w:cs="Arial"/>
          <w:b/>
          <w:color w:val="000000"/>
        </w:rPr>
        <w:t xml:space="preserve"> - Haftung </w:t>
      </w:r>
    </w:p>
    <w:p w14:paraId="5288BD8E" w14:textId="1E973C04" w:rsidR="009C06E7" w:rsidRPr="00AC4930" w:rsidRDefault="003D0DB5" w:rsidP="00690F5F">
      <w:pPr>
        <w:jc w:val="both"/>
      </w:pPr>
      <w:r w:rsidRPr="00B12A7A">
        <w:rPr>
          <w:rFonts w:eastAsia="Times New Roman"/>
        </w:rPr>
        <w:t>(1</w:t>
      </w:r>
      <w:r>
        <w:rPr>
          <w:rFonts w:eastAsia="Times New Roman"/>
        </w:rPr>
        <w:t>)</w:t>
      </w:r>
      <w:r>
        <w:rPr>
          <w:rFonts w:eastAsia="Times New Roman"/>
        </w:rPr>
        <w:tab/>
      </w:r>
      <w:r w:rsidRPr="00F63279">
        <w:t xml:space="preserve">Art. 82 </w:t>
      </w:r>
      <w:r w:rsidR="00AF49DF">
        <w:t>DS-GVO</w:t>
      </w:r>
      <w:r w:rsidRPr="00F63279">
        <w:t xml:space="preserve"> bleibt unberührt. Diese Vereinbarung begründet</w:t>
      </w:r>
      <w:r w:rsidR="00846966">
        <w:t xml:space="preserve"> darüber hinaus</w:t>
      </w:r>
      <w:r w:rsidRPr="00F63279">
        <w:t xml:space="preserve"> keinen Anspruch betroffener Personen oder sonstiger Dritter sowie keine Ges</w:t>
      </w:r>
      <w:r>
        <w:t>amtschuldnerschaft der Parteien.</w:t>
      </w:r>
    </w:p>
    <w:p w14:paraId="4CBB80F6" w14:textId="3FDECF9D" w:rsidR="008A7CDF" w:rsidRDefault="003D0DB5">
      <w:r w:rsidRPr="00B12A7A">
        <w:rPr>
          <w:rFonts w:eastAsia="Times New Roman"/>
        </w:rPr>
        <w:t>(</w:t>
      </w:r>
      <w:r>
        <w:rPr>
          <w:rFonts w:eastAsia="Times New Roman"/>
        </w:rPr>
        <w:t>2</w:t>
      </w:r>
      <w:r w:rsidRPr="00B12A7A">
        <w:rPr>
          <w:rFonts w:eastAsia="Times New Roman"/>
        </w:rPr>
        <w:t>)</w:t>
      </w:r>
      <w:r w:rsidRPr="00B12A7A">
        <w:rPr>
          <w:rFonts w:eastAsia="Times New Roman"/>
        </w:rPr>
        <w:tab/>
      </w:r>
      <w:r w:rsidRPr="00F63279">
        <w:t xml:space="preserve">Im Innenverhältnis haftet jede Partei gegenüber der anderen Partei für den Schaden, welcher durch Verarbeitungen in ihrem </w:t>
      </w:r>
      <w:r w:rsidR="00023383">
        <w:t>Zuständigkeits</w:t>
      </w:r>
      <w:r w:rsidR="00023383" w:rsidRPr="00F63279">
        <w:t xml:space="preserve">bereich </w:t>
      </w:r>
      <w:r w:rsidRPr="00F63279">
        <w:t>entstand. Dies gilt auch im Hinblick auf Bußgelder</w:t>
      </w:r>
      <w:r w:rsidR="00AF7EEF">
        <w:t xml:space="preserve"> entsprechend</w:t>
      </w:r>
      <w:r w:rsidRPr="00F63279">
        <w:t>.</w:t>
      </w:r>
    </w:p>
    <w:p w14:paraId="75B32FA9" w14:textId="77777777" w:rsidR="009F05C7" w:rsidRDefault="009F05C7">
      <w:pPr>
        <w:rPr>
          <w:rFonts w:cs="Arial"/>
          <w:b/>
          <w:color w:val="000000"/>
        </w:rPr>
      </w:pPr>
    </w:p>
    <w:p w14:paraId="0F804E7D" w14:textId="1355CA50" w:rsidR="006378E0" w:rsidRPr="00F63279" w:rsidRDefault="006378E0" w:rsidP="009C06E7">
      <w:pPr>
        <w:keepNext/>
        <w:spacing w:after="240" w:line="300" w:lineRule="atLeast"/>
        <w:jc w:val="center"/>
        <w:rPr>
          <w:rFonts w:cs="Arial"/>
          <w:b/>
          <w:color w:val="000000"/>
        </w:rPr>
      </w:pPr>
      <w:r>
        <w:rPr>
          <w:rFonts w:cs="Arial"/>
          <w:b/>
          <w:color w:val="000000"/>
        </w:rPr>
        <w:t xml:space="preserve">§ </w:t>
      </w:r>
      <w:r w:rsidR="00851B2E">
        <w:rPr>
          <w:rFonts w:cs="Arial"/>
          <w:b/>
          <w:color w:val="000000"/>
        </w:rPr>
        <w:t>12</w:t>
      </w:r>
      <w:r w:rsidR="00F5650E">
        <w:rPr>
          <w:rStyle w:val="Funotenzeichen"/>
          <w:rFonts w:cs="Arial"/>
          <w:b/>
          <w:color w:val="000000"/>
        </w:rPr>
        <w:footnoteReference w:id="5"/>
      </w:r>
      <w:r w:rsidR="00AB5CEC">
        <w:rPr>
          <w:rFonts w:cs="Arial"/>
          <w:b/>
          <w:color w:val="000000"/>
        </w:rPr>
        <w:t xml:space="preserve"> - Änderungen, Zurückbehaltung, Salvatorische Klausel, Rechtswahl und Gerichtsstand</w:t>
      </w:r>
    </w:p>
    <w:p w14:paraId="03E38980" w14:textId="2AE61542" w:rsidR="009C06E7" w:rsidRPr="00F63279" w:rsidRDefault="006378E0" w:rsidP="00690F5F">
      <w:pPr>
        <w:jc w:val="both"/>
        <w:rPr>
          <w:rFonts w:eastAsia="Times New Roman"/>
        </w:rPr>
      </w:pPr>
      <w:r>
        <w:rPr>
          <w:rFonts w:eastAsia="Times New Roman"/>
        </w:rPr>
        <w:t xml:space="preserve">(1) </w:t>
      </w:r>
      <w:r w:rsidR="00DF4144">
        <w:rPr>
          <w:rFonts w:eastAsia="Times New Roman"/>
        </w:rPr>
        <w:tab/>
      </w:r>
      <w:r w:rsidRPr="00F63279">
        <w:rPr>
          <w:rFonts w:eastAsia="Times New Roman"/>
        </w:rPr>
        <w:t>Änderungen und Ergänzungen dieser Vereinbarung und aller ihrer Bestandteile – einschließlich etwaiger Zusicherungen des Auftragnehmers – bedürfen einer schriftlichen Vereinbarung und des ausdrücklichen Hinweises darauf, dass es sich um eine Änderung bzw. Ergänzung dieser Vereinbarung handelt. Dies gilt auch für den Verzicht auf dieses Formerfordernis.</w:t>
      </w:r>
    </w:p>
    <w:p w14:paraId="33CED8B7" w14:textId="57CA5A78" w:rsidR="009C06E7" w:rsidRPr="00F63279" w:rsidRDefault="006378E0" w:rsidP="00690F5F">
      <w:pPr>
        <w:jc w:val="both"/>
        <w:rPr>
          <w:rFonts w:eastAsia="Times New Roman"/>
        </w:rPr>
      </w:pPr>
      <w:r>
        <w:rPr>
          <w:rFonts w:eastAsia="Times New Roman"/>
        </w:rPr>
        <w:t xml:space="preserve">(2) </w:t>
      </w:r>
      <w:r w:rsidR="00DF4144">
        <w:rPr>
          <w:rFonts w:eastAsia="Times New Roman"/>
        </w:rPr>
        <w:tab/>
      </w:r>
      <w:r w:rsidRPr="00F63279">
        <w:rPr>
          <w:rFonts w:eastAsia="Times New Roman"/>
        </w:rPr>
        <w:t>Die Einrede des Zurückbehaltungsrechts im Sinne von § 273 BGB wird hinsichtlich sämtlicher im Rahmen dieser Vereinbarung von einer Partei der jeweils anderen Partei überlassenen Daten und der zugehörigen Datenträger ausgeschlossen.</w:t>
      </w:r>
    </w:p>
    <w:p w14:paraId="7DA7E556" w14:textId="08FD911A" w:rsidR="009C06E7" w:rsidRPr="00F63279" w:rsidRDefault="006378E0" w:rsidP="00690F5F">
      <w:pPr>
        <w:jc w:val="both"/>
        <w:rPr>
          <w:rFonts w:eastAsia="Times New Roman"/>
        </w:rPr>
      </w:pPr>
      <w:r>
        <w:rPr>
          <w:rFonts w:eastAsia="Times New Roman"/>
        </w:rPr>
        <w:t xml:space="preserve">(3) </w:t>
      </w:r>
      <w:r w:rsidR="00DF4144">
        <w:rPr>
          <w:rFonts w:eastAsia="Times New Roman"/>
        </w:rPr>
        <w:tab/>
      </w:r>
      <w:r w:rsidRPr="00F63279">
        <w:rPr>
          <w:rFonts w:eastAsia="Times New Roman"/>
        </w:rPr>
        <w:t>Bei etwaigen Widersprüchen gehen Regelungen dieser Vereinbarung zum Datenschutz den Regelungen des Hauptvertrages vor. Sollten einzelne Teile dieser Vereinbarung unwirksam sein, so berührt dies die Wirksamkeit der Vereinbarung im Übrigen nicht. Die Parteien vereinbaren, dass sie solche Teile durch eine wirksame Bestimmung ersetzen werden, die dem gewollten Zweck der Parteien am ehesten entspricht. Das gleiche gilt für eine Regelungslücke im Vertrag.</w:t>
      </w:r>
    </w:p>
    <w:p w14:paraId="44519D32" w14:textId="02B44E51" w:rsidR="009C06E7" w:rsidRPr="00F63279" w:rsidRDefault="006378E0" w:rsidP="00690F5F">
      <w:pPr>
        <w:jc w:val="both"/>
        <w:rPr>
          <w:rFonts w:eastAsia="Times New Roman"/>
        </w:rPr>
      </w:pPr>
      <w:r>
        <w:rPr>
          <w:rFonts w:eastAsia="Times New Roman"/>
        </w:rPr>
        <w:t xml:space="preserve">(4) </w:t>
      </w:r>
      <w:r w:rsidR="00DF4144">
        <w:rPr>
          <w:rFonts w:eastAsia="Times New Roman"/>
        </w:rPr>
        <w:tab/>
      </w:r>
      <w:r w:rsidRPr="00F63279">
        <w:rPr>
          <w:rFonts w:eastAsia="Times New Roman"/>
        </w:rPr>
        <w:t>Es gilt deutsches Recht.</w:t>
      </w:r>
    </w:p>
    <w:p w14:paraId="4125AFBE" w14:textId="7408ADAF" w:rsidR="00821B2F" w:rsidRDefault="006378E0" w:rsidP="00690F5F">
      <w:pPr>
        <w:jc w:val="both"/>
        <w:rPr>
          <w:rFonts w:eastAsia="Times New Roman"/>
        </w:rPr>
      </w:pPr>
      <w:r>
        <w:rPr>
          <w:rFonts w:eastAsia="Times New Roman"/>
        </w:rPr>
        <w:t xml:space="preserve">(5) </w:t>
      </w:r>
      <w:r w:rsidR="00DF4144">
        <w:rPr>
          <w:rFonts w:eastAsia="Times New Roman"/>
        </w:rPr>
        <w:tab/>
      </w:r>
      <w:r w:rsidRPr="00F63279">
        <w:rPr>
          <w:rFonts w:eastAsia="Times New Roman"/>
        </w:rPr>
        <w:t xml:space="preserve">Gerichtsstand für Auseinandersetzungen aus dieser Vereinbarung ist </w:t>
      </w:r>
      <w:bookmarkStart w:id="2" w:name="_Hlk134697123"/>
      <w:r w:rsidRPr="00F63279">
        <w:rPr>
          <w:rFonts w:eastAsia="Times New Roman"/>
        </w:rPr>
        <w:t>–</w:t>
      </w:r>
      <w:bookmarkEnd w:id="2"/>
      <w:r w:rsidR="008A7CDF">
        <w:rPr>
          <w:rFonts w:eastAsia="Times New Roman"/>
        </w:rPr>
        <w:t xml:space="preserve"> </w:t>
      </w:r>
      <w:r w:rsidRPr="00F63279">
        <w:rPr>
          <w:rFonts w:eastAsia="Times New Roman"/>
        </w:rPr>
        <w:t>soweit zulässig</w:t>
      </w:r>
      <w:r w:rsidR="008A7CDF">
        <w:rPr>
          <w:rFonts w:eastAsia="Times New Roman"/>
        </w:rPr>
        <w:t xml:space="preserve"> </w:t>
      </w:r>
      <w:r w:rsidR="008A7CDF" w:rsidRPr="00F63279">
        <w:rPr>
          <w:rFonts w:eastAsia="Times New Roman"/>
        </w:rPr>
        <w:t>–</w:t>
      </w:r>
      <w:r w:rsidR="008A7CDF">
        <w:rPr>
          <w:rFonts w:eastAsia="Times New Roman"/>
        </w:rPr>
        <w:t xml:space="preserve"> </w:t>
      </w:r>
      <w:r>
        <w:rPr>
          <w:rFonts w:eastAsia="Times New Roman"/>
        </w:rPr>
        <w:t xml:space="preserve">der </w:t>
      </w:r>
      <w:r w:rsidRPr="00F63279">
        <w:rPr>
          <w:rFonts w:eastAsia="Times New Roman"/>
        </w:rPr>
        <w:t>Sitz de</w:t>
      </w:r>
      <w:r w:rsidR="00757C7D">
        <w:rPr>
          <w:rFonts w:eastAsia="Times New Roman"/>
        </w:rPr>
        <w:t>s</w:t>
      </w:r>
      <w:r w:rsidRPr="00F63279">
        <w:rPr>
          <w:rFonts w:eastAsia="Times New Roman"/>
        </w:rPr>
        <w:t xml:space="preserve"> </w:t>
      </w:r>
      <w:r w:rsidR="00757C7D">
        <w:rPr>
          <w:rFonts w:eastAsia="Times New Roman"/>
        </w:rPr>
        <w:t>Prüfzentrums</w:t>
      </w:r>
      <w:r w:rsidRPr="00F63279">
        <w:rPr>
          <w:rFonts w:eastAsia="Times New Roman"/>
        </w:rPr>
        <w:t>.</w:t>
      </w:r>
    </w:p>
    <w:p w14:paraId="51D87D93" w14:textId="77777777" w:rsidR="00F247BE" w:rsidRDefault="00F247BE" w:rsidP="00690F5F">
      <w:pPr>
        <w:jc w:val="both"/>
        <w:rPr>
          <w:b/>
        </w:rPr>
      </w:pPr>
    </w:p>
    <w:p w14:paraId="662F4023" w14:textId="10845E63" w:rsidR="006378E0" w:rsidRPr="006378E0" w:rsidRDefault="006378E0" w:rsidP="00690F5F">
      <w:pPr>
        <w:jc w:val="both"/>
        <w:rPr>
          <w:b/>
        </w:rPr>
      </w:pPr>
      <w:r w:rsidRPr="006378E0">
        <w:rPr>
          <w:b/>
        </w:rPr>
        <w:t xml:space="preserve">Für </w:t>
      </w:r>
      <w:r>
        <w:rPr>
          <w:b/>
        </w:rPr>
        <w:t>d</w:t>
      </w:r>
      <w:r w:rsidR="00757C7D">
        <w:rPr>
          <w:b/>
        </w:rPr>
        <w:t>as</w:t>
      </w:r>
      <w:r>
        <w:rPr>
          <w:b/>
        </w:rPr>
        <w:t xml:space="preserve"> </w:t>
      </w:r>
      <w:r w:rsidR="00757C7D">
        <w:rPr>
          <w:b/>
        </w:rPr>
        <w:t>Prüfzentrum</w:t>
      </w:r>
    </w:p>
    <w:p w14:paraId="3DBC5BC7" w14:textId="7DC32E8B" w:rsidR="006378E0" w:rsidRPr="006378E0" w:rsidRDefault="006378E0" w:rsidP="00690F5F">
      <w:pPr>
        <w:jc w:val="both"/>
        <w:rPr>
          <w:b/>
        </w:rPr>
      </w:pPr>
    </w:p>
    <w:p w14:paraId="7E19ABB1" w14:textId="0B5E3175" w:rsidR="006378E0" w:rsidRPr="006378E0" w:rsidRDefault="006378E0" w:rsidP="00690F5F">
      <w:pPr>
        <w:jc w:val="both"/>
      </w:pPr>
      <w:r w:rsidRPr="006378E0">
        <w:t>______________________</w:t>
      </w:r>
      <w:r w:rsidRPr="006378E0">
        <w:tab/>
        <w:t>_______________________________________________________</w:t>
      </w:r>
    </w:p>
    <w:p w14:paraId="39DCB3AA" w14:textId="7611ADDF" w:rsidR="006378E0" w:rsidRPr="006378E0" w:rsidRDefault="006378E0" w:rsidP="00690F5F">
      <w:pPr>
        <w:jc w:val="both"/>
      </w:pPr>
      <w:r w:rsidRPr="006378E0">
        <w:t>(Ort, Datum)</w:t>
      </w:r>
      <w:r w:rsidRPr="006378E0">
        <w:tab/>
      </w:r>
      <w:r w:rsidRPr="006378E0">
        <w:tab/>
      </w:r>
      <w:r w:rsidRPr="006378E0">
        <w:tab/>
        <w:t>(Unterschrift)</w:t>
      </w:r>
    </w:p>
    <w:p w14:paraId="2A594EC0" w14:textId="01D36EA9" w:rsidR="006378E0" w:rsidRPr="006378E0" w:rsidRDefault="006378E0" w:rsidP="00690F5F">
      <w:pPr>
        <w:jc w:val="both"/>
        <w:rPr>
          <w:b/>
        </w:rPr>
      </w:pPr>
    </w:p>
    <w:p w14:paraId="3F2EDF09" w14:textId="7CA17162" w:rsidR="006378E0" w:rsidRPr="006378E0" w:rsidRDefault="006378E0" w:rsidP="00690F5F">
      <w:pPr>
        <w:jc w:val="both"/>
        <w:rPr>
          <w:b/>
        </w:rPr>
      </w:pPr>
      <w:r w:rsidRPr="006378E0">
        <w:rPr>
          <w:b/>
        </w:rPr>
        <w:t xml:space="preserve">Für den </w:t>
      </w:r>
      <w:r>
        <w:rPr>
          <w:b/>
        </w:rPr>
        <w:t>Sponsor</w:t>
      </w:r>
    </w:p>
    <w:p w14:paraId="22E25A58" w14:textId="6C4E868A" w:rsidR="006378E0" w:rsidRPr="006378E0" w:rsidRDefault="006378E0" w:rsidP="00690F5F">
      <w:pPr>
        <w:jc w:val="both"/>
      </w:pPr>
    </w:p>
    <w:p w14:paraId="60B0B284" w14:textId="72A5423A" w:rsidR="006378E0" w:rsidRPr="006378E0" w:rsidRDefault="006378E0" w:rsidP="00690F5F">
      <w:pPr>
        <w:jc w:val="both"/>
      </w:pPr>
      <w:r w:rsidRPr="006378E0">
        <w:t>______________________</w:t>
      </w:r>
      <w:r w:rsidRPr="006378E0">
        <w:tab/>
        <w:t>_______________________________________________________</w:t>
      </w:r>
    </w:p>
    <w:p w14:paraId="37BC08BD" w14:textId="1758A1A6" w:rsidR="00F930BE" w:rsidRPr="001328F5" w:rsidRDefault="006378E0" w:rsidP="00690F5F">
      <w:pPr>
        <w:jc w:val="both"/>
      </w:pPr>
      <w:r w:rsidRPr="006378E0">
        <w:t>(Ort, Datum)</w:t>
      </w:r>
      <w:r w:rsidRPr="006378E0">
        <w:tab/>
      </w:r>
      <w:r w:rsidRPr="006378E0">
        <w:tab/>
      </w:r>
      <w:r w:rsidRPr="006378E0">
        <w:tab/>
        <w:t>(Unterschrift)</w:t>
      </w:r>
    </w:p>
    <w:sectPr w:rsidR="00F930BE" w:rsidRPr="001328F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81C0A" w14:textId="77777777" w:rsidR="000D6C82" w:rsidRDefault="000D6C82" w:rsidP="001E003E">
      <w:pPr>
        <w:spacing w:after="0" w:line="240" w:lineRule="auto"/>
      </w:pPr>
      <w:r>
        <w:separator/>
      </w:r>
    </w:p>
  </w:endnote>
  <w:endnote w:type="continuationSeparator" w:id="0">
    <w:p w14:paraId="2A3C7982" w14:textId="77777777" w:rsidR="000D6C82" w:rsidRDefault="000D6C82" w:rsidP="001E0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700013"/>
      <w:docPartObj>
        <w:docPartGallery w:val="Page Numbers (Bottom of Page)"/>
        <w:docPartUnique/>
      </w:docPartObj>
    </w:sdtPr>
    <w:sdtEndPr/>
    <w:sdtContent>
      <w:p w14:paraId="361A36D6" w14:textId="5139AE04" w:rsidR="0034765A" w:rsidRDefault="0034765A">
        <w:pPr>
          <w:pStyle w:val="Fuzeile"/>
          <w:jc w:val="right"/>
        </w:pPr>
        <w:r>
          <w:fldChar w:fldCharType="begin"/>
        </w:r>
        <w:r>
          <w:instrText>PAGE   \* MERGEFORMAT</w:instrText>
        </w:r>
        <w:r>
          <w:fldChar w:fldCharType="separate"/>
        </w:r>
        <w:r>
          <w:t>2</w:t>
        </w:r>
        <w:r>
          <w:fldChar w:fldCharType="end"/>
        </w:r>
      </w:p>
    </w:sdtContent>
  </w:sdt>
  <w:p w14:paraId="09E3D06C" w14:textId="77777777" w:rsidR="00246E8B" w:rsidRDefault="00246E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A388" w14:textId="77777777" w:rsidR="000D6C82" w:rsidRDefault="000D6C82" w:rsidP="001E003E">
      <w:pPr>
        <w:spacing w:after="0" w:line="240" w:lineRule="auto"/>
      </w:pPr>
      <w:r>
        <w:separator/>
      </w:r>
    </w:p>
  </w:footnote>
  <w:footnote w:type="continuationSeparator" w:id="0">
    <w:p w14:paraId="3AA201B3" w14:textId="77777777" w:rsidR="000D6C82" w:rsidRDefault="000D6C82" w:rsidP="001E003E">
      <w:pPr>
        <w:spacing w:after="0" w:line="240" w:lineRule="auto"/>
      </w:pPr>
      <w:r>
        <w:continuationSeparator/>
      </w:r>
    </w:p>
  </w:footnote>
  <w:footnote w:id="1">
    <w:p w14:paraId="69C38581" w14:textId="0F89E8D0" w:rsidR="00313936" w:rsidRDefault="00313936">
      <w:pPr>
        <w:pStyle w:val="Funotentext"/>
      </w:pPr>
      <w:r>
        <w:rPr>
          <w:rStyle w:val="Funotenzeichen"/>
        </w:rPr>
        <w:footnoteRef/>
      </w:r>
      <w:r>
        <w:t xml:space="preserve"> Bitte genau prüfen, wer nach DS-GVO Verantwortlicher sein soll und </w:t>
      </w:r>
      <w:r w:rsidR="00994E31">
        <w:t>Partei dieser Vereinbarung wird.</w:t>
      </w:r>
    </w:p>
  </w:footnote>
  <w:footnote w:id="2">
    <w:p w14:paraId="4D2C7EDA" w14:textId="77777777" w:rsidR="005F12FD" w:rsidRDefault="005F12FD" w:rsidP="005F12FD">
      <w:pPr>
        <w:pStyle w:val="Funotentext"/>
      </w:pPr>
      <w:r>
        <w:rPr>
          <w:rStyle w:val="Funotenzeichen"/>
        </w:rPr>
        <w:footnoteRef/>
      </w:r>
      <w:r>
        <w:t xml:space="preserve"> Es sollte sichergestellt sein, dass auch der Wechsel von Zuständigkeiten innerhalb der Parteien abgedeckt sind. Es könnte zum Beispiel generische E-Mail-Adressen einer Abteilung oder Kontaktdaten der Ansprechpartner, die in der jeweiligen Organisation im Rahmen dieses Projektes für den Bereich Datenschutz zuständig ist, verwendet werden. </w:t>
      </w:r>
    </w:p>
  </w:footnote>
  <w:footnote w:id="3">
    <w:p w14:paraId="260A1415" w14:textId="3D7365D2" w:rsidR="00100371" w:rsidRDefault="00100371">
      <w:pPr>
        <w:pStyle w:val="Funotentext"/>
      </w:pPr>
      <w:r>
        <w:rPr>
          <w:rStyle w:val="Funotenzeichen"/>
        </w:rPr>
        <w:footnoteRef/>
      </w:r>
      <w:r>
        <w:t xml:space="preserve"> Hinweis: Sofern Besonderheiten für die Durchführung einer Datenschutzfolgenabschätzung notwendig sein</w:t>
      </w:r>
      <w:r w:rsidR="00ED4AE7">
        <w:t xml:space="preserve"> sollten</w:t>
      </w:r>
      <w:r>
        <w:t>, sind die Parteien frei, hierfür vertraglicher Ergänzungen vorzunehmen.</w:t>
      </w:r>
    </w:p>
  </w:footnote>
  <w:footnote w:id="4">
    <w:p w14:paraId="41C5CF34" w14:textId="5A98600A" w:rsidR="00DF4144" w:rsidRDefault="00DF4144">
      <w:pPr>
        <w:pStyle w:val="Funotentext"/>
      </w:pPr>
      <w:r>
        <w:rPr>
          <w:rStyle w:val="Funotenzeichen"/>
        </w:rPr>
        <w:footnoteRef/>
      </w:r>
      <w:r>
        <w:t xml:space="preserve"> </w:t>
      </w:r>
      <w:r w:rsidRPr="00DF4144">
        <w:t>Nur notwendig bei fehlender Parteienidentität zum Hauptvertrag, anderenfalls kann Klausel entfallen.</w:t>
      </w:r>
    </w:p>
  </w:footnote>
  <w:footnote w:id="5">
    <w:p w14:paraId="067F720D" w14:textId="2ED6701D" w:rsidR="00F5650E" w:rsidRDefault="00F5650E">
      <w:pPr>
        <w:pStyle w:val="Funotentext"/>
      </w:pPr>
      <w:r>
        <w:rPr>
          <w:rStyle w:val="Funotenzeichen"/>
        </w:rPr>
        <w:footnoteRef/>
      </w:r>
      <w:r>
        <w:t xml:space="preserve"> </w:t>
      </w:r>
      <w:bookmarkStart w:id="1" w:name="_Hlk105515279"/>
      <w:r>
        <w:t>Nur notwendig bei fehlender Parteienidentität zum Hauptvertrag, anderenfalls kann Klausel entfallen.</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76FF"/>
    <w:multiLevelType w:val="hybridMultilevel"/>
    <w:tmpl w:val="6F6030B8"/>
    <w:lvl w:ilvl="0" w:tplc="85C4446E">
      <w:start w:val="1"/>
      <w:numFmt w:val="decimal"/>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AA62F55"/>
    <w:multiLevelType w:val="hybridMultilevel"/>
    <w:tmpl w:val="948E8B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540838"/>
    <w:multiLevelType w:val="hybridMultilevel"/>
    <w:tmpl w:val="805A65B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1186728"/>
    <w:multiLevelType w:val="hybridMultilevel"/>
    <w:tmpl w:val="DFC065D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3973C1F"/>
    <w:multiLevelType w:val="hybridMultilevel"/>
    <w:tmpl w:val="1618F144"/>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5FC6D6E"/>
    <w:multiLevelType w:val="hybridMultilevel"/>
    <w:tmpl w:val="2E7C91B0"/>
    <w:lvl w:ilvl="0" w:tplc="A814A95C">
      <w:start w:val="1"/>
      <w:numFmt w:val="decimal"/>
      <w:pStyle w:val="berschrift2"/>
      <w:lvlText w:val="%1."/>
      <w:lvlJc w:val="left"/>
      <w:pPr>
        <w:ind w:left="785"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E90842"/>
    <w:multiLevelType w:val="hybridMultilevel"/>
    <w:tmpl w:val="5176862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31D734F9"/>
    <w:multiLevelType w:val="hybridMultilevel"/>
    <w:tmpl w:val="05A038E2"/>
    <w:lvl w:ilvl="0" w:tplc="2A5C51E0">
      <w:start w:val="1"/>
      <w:numFmt w:val="lowerLetter"/>
      <w:lvlText w:val="%1."/>
      <w:lvlJc w:val="left"/>
      <w:pPr>
        <w:ind w:left="1400" w:hanging="360"/>
      </w:pPr>
    </w:lvl>
    <w:lvl w:ilvl="1" w:tplc="04070019" w:tentative="1">
      <w:start w:val="1"/>
      <w:numFmt w:val="lowerLetter"/>
      <w:lvlText w:val="%2."/>
      <w:lvlJc w:val="left"/>
      <w:pPr>
        <w:ind w:left="2120" w:hanging="360"/>
      </w:pPr>
    </w:lvl>
    <w:lvl w:ilvl="2" w:tplc="0407001B" w:tentative="1">
      <w:start w:val="1"/>
      <w:numFmt w:val="lowerRoman"/>
      <w:lvlText w:val="%3."/>
      <w:lvlJc w:val="right"/>
      <w:pPr>
        <w:ind w:left="2840" w:hanging="180"/>
      </w:pPr>
    </w:lvl>
    <w:lvl w:ilvl="3" w:tplc="0407000F" w:tentative="1">
      <w:start w:val="1"/>
      <w:numFmt w:val="decimal"/>
      <w:lvlText w:val="%4."/>
      <w:lvlJc w:val="left"/>
      <w:pPr>
        <w:ind w:left="3560" w:hanging="360"/>
      </w:pPr>
    </w:lvl>
    <w:lvl w:ilvl="4" w:tplc="04070019" w:tentative="1">
      <w:start w:val="1"/>
      <w:numFmt w:val="lowerLetter"/>
      <w:lvlText w:val="%5."/>
      <w:lvlJc w:val="left"/>
      <w:pPr>
        <w:ind w:left="4280" w:hanging="360"/>
      </w:pPr>
    </w:lvl>
    <w:lvl w:ilvl="5" w:tplc="0407001B" w:tentative="1">
      <w:start w:val="1"/>
      <w:numFmt w:val="lowerRoman"/>
      <w:lvlText w:val="%6."/>
      <w:lvlJc w:val="right"/>
      <w:pPr>
        <w:ind w:left="5000" w:hanging="180"/>
      </w:pPr>
    </w:lvl>
    <w:lvl w:ilvl="6" w:tplc="0407000F" w:tentative="1">
      <w:start w:val="1"/>
      <w:numFmt w:val="decimal"/>
      <w:lvlText w:val="%7."/>
      <w:lvlJc w:val="left"/>
      <w:pPr>
        <w:ind w:left="5720" w:hanging="360"/>
      </w:pPr>
    </w:lvl>
    <w:lvl w:ilvl="7" w:tplc="04070019" w:tentative="1">
      <w:start w:val="1"/>
      <w:numFmt w:val="lowerLetter"/>
      <w:lvlText w:val="%8."/>
      <w:lvlJc w:val="left"/>
      <w:pPr>
        <w:ind w:left="6440" w:hanging="360"/>
      </w:pPr>
    </w:lvl>
    <w:lvl w:ilvl="8" w:tplc="0407001B" w:tentative="1">
      <w:start w:val="1"/>
      <w:numFmt w:val="lowerRoman"/>
      <w:lvlText w:val="%9."/>
      <w:lvlJc w:val="right"/>
      <w:pPr>
        <w:ind w:left="7160" w:hanging="180"/>
      </w:pPr>
    </w:lvl>
  </w:abstractNum>
  <w:abstractNum w:abstractNumId="8" w15:restartNumberingAfterBreak="0">
    <w:nsid w:val="31F53D92"/>
    <w:multiLevelType w:val="hybridMultilevel"/>
    <w:tmpl w:val="DFC065D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41A0425"/>
    <w:multiLevelType w:val="hybridMultilevel"/>
    <w:tmpl w:val="206C32C6"/>
    <w:lvl w:ilvl="0" w:tplc="654A5B48">
      <w:start w:val="1"/>
      <w:numFmt w:val="decimal"/>
      <w:lvlText w:val="(%1)"/>
      <w:lvlJc w:val="left"/>
      <w:pPr>
        <w:ind w:left="502"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4D048C6"/>
    <w:multiLevelType w:val="hybridMultilevel"/>
    <w:tmpl w:val="B1F816A6"/>
    <w:lvl w:ilvl="0" w:tplc="591A9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0F1000"/>
    <w:multiLevelType w:val="hybridMultilevel"/>
    <w:tmpl w:val="2E64400A"/>
    <w:lvl w:ilvl="0" w:tplc="544E948C">
      <w:start w:val="1"/>
      <w:numFmt w:val="decimal"/>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A4C3A79"/>
    <w:multiLevelType w:val="multilevel"/>
    <w:tmpl w:val="0B3C4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82E6C"/>
    <w:multiLevelType w:val="hybridMultilevel"/>
    <w:tmpl w:val="85E65EA2"/>
    <w:lvl w:ilvl="0" w:tplc="CF92D0E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E5E6034"/>
    <w:multiLevelType w:val="hybridMultilevel"/>
    <w:tmpl w:val="1352A69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ECB2D3A"/>
    <w:multiLevelType w:val="hybridMultilevel"/>
    <w:tmpl w:val="A41C385E"/>
    <w:lvl w:ilvl="0" w:tplc="DEAAE14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2C77C67"/>
    <w:multiLevelType w:val="hybridMultilevel"/>
    <w:tmpl w:val="FF201806"/>
    <w:lvl w:ilvl="0" w:tplc="8D8E143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71E0FAF"/>
    <w:multiLevelType w:val="hybridMultilevel"/>
    <w:tmpl w:val="F7BA1D9E"/>
    <w:lvl w:ilvl="0" w:tplc="276A81AA">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832DBC"/>
    <w:multiLevelType w:val="hybridMultilevel"/>
    <w:tmpl w:val="DFC065D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D1F6380"/>
    <w:multiLevelType w:val="hybridMultilevel"/>
    <w:tmpl w:val="74F45A72"/>
    <w:lvl w:ilvl="0" w:tplc="4012636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2EB3787"/>
    <w:multiLevelType w:val="hybridMultilevel"/>
    <w:tmpl w:val="6804EE12"/>
    <w:lvl w:ilvl="0" w:tplc="8870B38A">
      <w:numFmt w:val="bullet"/>
      <w:lvlText w:val="-"/>
      <w:lvlJc w:val="left"/>
      <w:pPr>
        <w:ind w:left="720" w:hanging="360"/>
      </w:pPr>
      <w:rPr>
        <w:rFonts w:ascii="Calibri" w:eastAsiaTheme="minorHAnsi" w:hAnsi="Calibri" w:cs="Calibri"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8741ED2"/>
    <w:multiLevelType w:val="hybridMultilevel"/>
    <w:tmpl w:val="CCBA8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2C19ED"/>
    <w:multiLevelType w:val="hybridMultilevel"/>
    <w:tmpl w:val="E2E4E616"/>
    <w:lvl w:ilvl="0" w:tplc="7F1E40A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7FF721A"/>
    <w:multiLevelType w:val="hybridMultilevel"/>
    <w:tmpl w:val="C47EA044"/>
    <w:lvl w:ilvl="0" w:tplc="B8540824">
      <w:start w:val="1"/>
      <w:numFmt w:val="decimal"/>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B7E15FB"/>
    <w:multiLevelType w:val="hybridMultilevel"/>
    <w:tmpl w:val="69740584"/>
    <w:lvl w:ilvl="0" w:tplc="B128031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23885044">
    <w:abstractNumId w:val="20"/>
  </w:num>
  <w:num w:numId="2" w16cid:durableId="1057971083">
    <w:abstractNumId w:val="12"/>
  </w:num>
  <w:num w:numId="3" w16cid:durableId="581918513">
    <w:abstractNumId w:val="14"/>
  </w:num>
  <w:num w:numId="4" w16cid:durableId="597568533">
    <w:abstractNumId w:val="5"/>
  </w:num>
  <w:num w:numId="5" w16cid:durableId="1204319808">
    <w:abstractNumId w:val="5"/>
  </w:num>
  <w:num w:numId="6" w16cid:durableId="1048381795">
    <w:abstractNumId w:val="5"/>
  </w:num>
  <w:num w:numId="7" w16cid:durableId="814177469">
    <w:abstractNumId w:val="5"/>
    <w:lvlOverride w:ilvl="0">
      <w:startOverride w:val="1"/>
    </w:lvlOverride>
  </w:num>
  <w:num w:numId="8" w16cid:durableId="974485124">
    <w:abstractNumId w:val="7"/>
  </w:num>
  <w:num w:numId="9" w16cid:durableId="327833333">
    <w:abstractNumId w:val="13"/>
  </w:num>
  <w:num w:numId="10" w16cid:durableId="303897932">
    <w:abstractNumId w:val="13"/>
    <w:lvlOverride w:ilvl="0">
      <w:startOverride w:val="1"/>
    </w:lvlOverride>
  </w:num>
  <w:num w:numId="11" w16cid:durableId="1457215759">
    <w:abstractNumId w:val="13"/>
  </w:num>
  <w:num w:numId="12" w16cid:durableId="1174109468">
    <w:abstractNumId w:val="13"/>
  </w:num>
  <w:num w:numId="13" w16cid:durableId="1618026854">
    <w:abstractNumId w:val="5"/>
  </w:num>
  <w:num w:numId="14" w16cid:durableId="922033399">
    <w:abstractNumId w:val="16"/>
  </w:num>
  <w:num w:numId="15" w16cid:durableId="986133879">
    <w:abstractNumId w:val="24"/>
  </w:num>
  <w:num w:numId="16" w16cid:durableId="1153526961">
    <w:abstractNumId w:val="17"/>
  </w:num>
  <w:num w:numId="17" w16cid:durableId="1289355707">
    <w:abstractNumId w:val="15"/>
  </w:num>
  <w:num w:numId="18" w16cid:durableId="1830174486">
    <w:abstractNumId w:val="13"/>
  </w:num>
  <w:num w:numId="19" w16cid:durableId="131168853">
    <w:abstractNumId w:val="4"/>
  </w:num>
  <w:num w:numId="20" w16cid:durableId="1804421935">
    <w:abstractNumId w:val="13"/>
  </w:num>
  <w:num w:numId="21" w16cid:durableId="1837499629">
    <w:abstractNumId w:val="8"/>
  </w:num>
  <w:num w:numId="22" w16cid:durableId="485364647">
    <w:abstractNumId w:val="13"/>
  </w:num>
  <w:num w:numId="23" w16cid:durableId="501748055">
    <w:abstractNumId w:val="3"/>
  </w:num>
  <w:num w:numId="24" w16cid:durableId="213782643">
    <w:abstractNumId w:val="6"/>
  </w:num>
  <w:num w:numId="25" w16cid:durableId="910310415">
    <w:abstractNumId w:val="13"/>
  </w:num>
  <w:num w:numId="26" w16cid:durableId="1863203490">
    <w:abstractNumId w:val="13"/>
  </w:num>
  <w:num w:numId="27" w16cid:durableId="1537506397">
    <w:abstractNumId w:val="2"/>
  </w:num>
  <w:num w:numId="28" w16cid:durableId="437262441">
    <w:abstractNumId w:val="18"/>
  </w:num>
  <w:num w:numId="29" w16cid:durableId="1441796694">
    <w:abstractNumId w:val="9"/>
  </w:num>
  <w:num w:numId="30" w16cid:durableId="1952322434">
    <w:abstractNumId w:val="22"/>
  </w:num>
  <w:num w:numId="31" w16cid:durableId="810631253">
    <w:abstractNumId w:val="0"/>
  </w:num>
  <w:num w:numId="32" w16cid:durableId="220873526">
    <w:abstractNumId w:val="13"/>
  </w:num>
  <w:num w:numId="33" w16cid:durableId="1851482486">
    <w:abstractNumId w:val="11"/>
  </w:num>
  <w:num w:numId="34" w16cid:durableId="142623743">
    <w:abstractNumId w:val="1"/>
  </w:num>
  <w:num w:numId="35" w16cid:durableId="36206215">
    <w:abstractNumId w:val="5"/>
  </w:num>
  <w:num w:numId="36" w16cid:durableId="1299260052">
    <w:abstractNumId w:val="15"/>
    <w:lvlOverride w:ilvl="0">
      <w:startOverride w:val="1"/>
    </w:lvlOverride>
  </w:num>
  <w:num w:numId="37" w16cid:durableId="498694554">
    <w:abstractNumId w:val="9"/>
    <w:lvlOverride w:ilvl="0">
      <w:startOverride w:val="1"/>
    </w:lvlOverride>
  </w:num>
  <w:num w:numId="38" w16cid:durableId="386994517">
    <w:abstractNumId w:val="9"/>
  </w:num>
  <w:num w:numId="39" w16cid:durableId="197011065">
    <w:abstractNumId w:val="9"/>
    <w:lvlOverride w:ilvl="0">
      <w:startOverride w:val="1"/>
    </w:lvlOverride>
  </w:num>
  <w:num w:numId="40" w16cid:durableId="891814255">
    <w:abstractNumId w:val="9"/>
  </w:num>
  <w:num w:numId="41" w16cid:durableId="134837916">
    <w:abstractNumId w:val="9"/>
    <w:lvlOverride w:ilvl="0">
      <w:startOverride w:val="1"/>
    </w:lvlOverride>
  </w:num>
  <w:num w:numId="42" w16cid:durableId="1688099991">
    <w:abstractNumId w:val="9"/>
  </w:num>
  <w:num w:numId="43" w16cid:durableId="1976762455">
    <w:abstractNumId w:val="9"/>
  </w:num>
  <w:num w:numId="44" w16cid:durableId="786120201">
    <w:abstractNumId w:val="9"/>
    <w:lvlOverride w:ilvl="0">
      <w:startOverride w:val="1"/>
    </w:lvlOverride>
  </w:num>
  <w:num w:numId="45" w16cid:durableId="1483814983">
    <w:abstractNumId w:val="9"/>
  </w:num>
  <w:num w:numId="46" w16cid:durableId="1495679777">
    <w:abstractNumId w:val="9"/>
  </w:num>
  <w:num w:numId="47" w16cid:durableId="1659576923">
    <w:abstractNumId w:val="19"/>
  </w:num>
  <w:num w:numId="48" w16cid:durableId="573320110">
    <w:abstractNumId w:val="19"/>
    <w:lvlOverride w:ilvl="0">
      <w:startOverride w:val="1"/>
    </w:lvlOverride>
  </w:num>
  <w:num w:numId="49" w16cid:durableId="971981323">
    <w:abstractNumId w:val="19"/>
  </w:num>
  <w:num w:numId="50" w16cid:durableId="1327826783">
    <w:abstractNumId w:val="19"/>
    <w:lvlOverride w:ilvl="0">
      <w:startOverride w:val="1"/>
    </w:lvlOverride>
  </w:num>
  <w:num w:numId="51" w16cid:durableId="293608786">
    <w:abstractNumId w:val="19"/>
    <w:lvlOverride w:ilvl="0">
      <w:startOverride w:val="1"/>
    </w:lvlOverride>
  </w:num>
  <w:num w:numId="52" w16cid:durableId="262999003">
    <w:abstractNumId w:val="19"/>
  </w:num>
  <w:num w:numId="53" w16cid:durableId="1916164522">
    <w:abstractNumId w:val="19"/>
  </w:num>
  <w:num w:numId="54" w16cid:durableId="1820808644">
    <w:abstractNumId w:val="23"/>
  </w:num>
  <w:num w:numId="55" w16cid:durableId="296377941">
    <w:abstractNumId w:val="19"/>
  </w:num>
  <w:num w:numId="56" w16cid:durableId="1743209740">
    <w:abstractNumId w:val="19"/>
  </w:num>
  <w:num w:numId="57" w16cid:durableId="1782799160">
    <w:abstractNumId w:val="19"/>
  </w:num>
  <w:num w:numId="58" w16cid:durableId="1879856882">
    <w:abstractNumId w:val="19"/>
    <w:lvlOverride w:ilvl="0">
      <w:startOverride w:val="1"/>
    </w:lvlOverride>
  </w:num>
  <w:num w:numId="59" w16cid:durableId="591817152">
    <w:abstractNumId w:val="19"/>
  </w:num>
  <w:num w:numId="60" w16cid:durableId="1448037715">
    <w:abstractNumId w:val="19"/>
  </w:num>
  <w:num w:numId="61" w16cid:durableId="975453763">
    <w:abstractNumId w:val="19"/>
  </w:num>
  <w:num w:numId="62" w16cid:durableId="650448532">
    <w:abstractNumId w:val="10"/>
  </w:num>
  <w:num w:numId="63" w16cid:durableId="1316111210">
    <w:abstractNumId w:val="19"/>
  </w:num>
  <w:num w:numId="64" w16cid:durableId="1852723755">
    <w:abstractNumId w:val="19"/>
  </w:num>
  <w:num w:numId="65" w16cid:durableId="329332752">
    <w:abstractNumId w:val="19"/>
  </w:num>
  <w:num w:numId="66" w16cid:durableId="1332176892">
    <w:abstractNumId w:val="19"/>
  </w:num>
  <w:num w:numId="67" w16cid:durableId="57558185">
    <w:abstractNumId w:val="19"/>
  </w:num>
  <w:num w:numId="68" w16cid:durableId="2030568897">
    <w:abstractNumId w:val="19"/>
    <w:lvlOverride w:ilvl="0">
      <w:startOverride w:val="1"/>
    </w:lvlOverride>
  </w:num>
  <w:num w:numId="69" w16cid:durableId="1517042113">
    <w:abstractNumId w:val="0"/>
    <w:lvlOverride w:ilvl="0">
      <w:startOverride w:val="1"/>
    </w:lvlOverride>
  </w:num>
  <w:num w:numId="70" w16cid:durableId="387728971">
    <w:abstractNumId w:val="0"/>
    <w:lvlOverride w:ilvl="0">
      <w:startOverride w:val="1"/>
    </w:lvlOverride>
  </w:num>
  <w:num w:numId="71" w16cid:durableId="2016303222">
    <w:abstractNumId w:val="2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BE"/>
    <w:rsid w:val="000156D9"/>
    <w:rsid w:val="00016474"/>
    <w:rsid w:val="00023383"/>
    <w:rsid w:val="00023477"/>
    <w:rsid w:val="00050F3E"/>
    <w:rsid w:val="00063441"/>
    <w:rsid w:val="00063C93"/>
    <w:rsid w:val="00077F9A"/>
    <w:rsid w:val="00094774"/>
    <w:rsid w:val="000B1375"/>
    <w:rsid w:val="000B5DEB"/>
    <w:rsid w:val="000C765B"/>
    <w:rsid w:val="000D27BA"/>
    <w:rsid w:val="000D4155"/>
    <w:rsid w:val="000D6C82"/>
    <w:rsid w:val="000E2881"/>
    <w:rsid w:val="000E57AB"/>
    <w:rsid w:val="000E6673"/>
    <w:rsid w:val="00100371"/>
    <w:rsid w:val="00104B5B"/>
    <w:rsid w:val="00116E01"/>
    <w:rsid w:val="00120181"/>
    <w:rsid w:val="001241E8"/>
    <w:rsid w:val="00130146"/>
    <w:rsid w:val="001328F5"/>
    <w:rsid w:val="001344EA"/>
    <w:rsid w:val="0014461A"/>
    <w:rsid w:val="00157A3C"/>
    <w:rsid w:val="0016732E"/>
    <w:rsid w:val="0017203A"/>
    <w:rsid w:val="001825D7"/>
    <w:rsid w:val="00194E9A"/>
    <w:rsid w:val="001C32C4"/>
    <w:rsid w:val="001D09EC"/>
    <w:rsid w:val="001D358F"/>
    <w:rsid w:val="001D4662"/>
    <w:rsid w:val="001E003E"/>
    <w:rsid w:val="001E4A85"/>
    <w:rsid w:val="001F1D09"/>
    <w:rsid w:val="0022101D"/>
    <w:rsid w:val="0022748E"/>
    <w:rsid w:val="00231732"/>
    <w:rsid w:val="00246E8B"/>
    <w:rsid w:val="0025415B"/>
    <w:rsid w:val="00271E4A"/>
    <w:rsid w:val="00284A5F"/>
    <w:rsid w:val="002935D2"/>
    <w:rsid w:val="002A6BCA"/>
    <w:rsid w:val="002B3BEA"/>
    <w:rsid w:val="002D148A"/>
    <w:rsid w:val="002D4F0A"/>
    <w:rsid w:val="002E3857"/>
    <w:rsid w:val="003009E8"/>
    <w:rsid w:val="00304E35"/>
    <w:rsid w:val="00313936"/>
    <w:rsid w:val="00316927"/>
    <w:rsid w:val="003172A9"/>
    <w:rsid w:val="00326D24"/>
    <w:rsid w:val="00337266"/>
    <w:rsid w:val="0034765A"/>
    <w:rsid w:val="00347678"/>
    <w:rsid w:val="00371A34"/>
    <w:rsid w:val="003739AA"/>
    <w:rsid w:val="00374215"/>
    <w:rsid w:val="003944FD"/>
    <w:rsid w:val="003A4D30"/>
    <w:rsid w:val="003D0DB5"/>
    <w:rsid w:val="003F1903"/>
    <w:rsid w:val="003F7BA6"/>
    <w:rsid w:val="0040708E"/>
    <w:rsid w:val="004924EE"/>
    <w:rsid w:val="004A3842"/>
    <w:rsid w:val="004B50CE"/>
    <w:rsid w:val="004C2211"/>
    <w:rsid w:val="004D7043"/>
    <w:rsid w:val="005131E3"/>
    <w:rsid w:val="005150C6"/>
    <w:rsid w:val="005159EE"/>
    <w:rsid w:val="00527F88"/>
    <w:rsid w:val="00541250"/>
    <w:rsid w:val="00543472"/>
    <w:rsid w:val="0054513B"/>
    <w:rsid w:val="00550D5A"/>
    <w:rsid w:val="0055192A"/>
    <w:rsid w:val="00552885"/>
    <w:rsid w:val="005625B2"/>
    <w:rsid w:val="00575E77"/>
    <w:rsid w:val="0059269E"/>
    <w:rsid w:val="005A19CD"/>
    <w:rsid w:val="005A2F22"/>
    <w:rsid w:val="005A5403"/>
    <w:rsid w:val="005A7D1A"/>
    <w:rsid w:val="005C32EB"/>
    <w:rsid w:val="005C53F2"/>
    <w:rsid w:val="005D443E"/>
    <w:rsid w:val="005E46C2"/>
    <w:rsid w:val="005E5532"/>
    <w:rsid w:val="005F12FD"/>
    <w:rsid w:val="005F1C9F"/>
    <w:rsid w:val="0061296E"/>
    <w:rsid w:val="0062415E"/>
    <w:rsid w:val="006378E0"/>
    <w:rsid w:val="006521DA"/>
    <w:rsid w:val="006611B5"/>
    <w:rsid w:val="00680D30"/>
    <w:rsid w:val="00690F5F"/>
    <w:rsid w:val="006949B7"/>
    <w:rsid w:val="006A0495"/>
    <w:rsid w:val="006B3B6F"/>
    <w:rsid w:val="006B7908"/>
    <w:rsid w:val="006C0B69"/>
    <w:rsid w:val="006C68F1"/>
    <w:rsid w:val="006D179C"/>
    <w:rsid w:val="006D20BA"/>
    <w:rsid w:val="006F1E19"/>
    <w:rsid w:val="006F4959"/>
    <w:rsid w:val="00703645"/>
    <w:rsid w:val="00707663"/>
    <w:rsid w:val="00710A59"/>
    <w:rsid w:val="00717A27"/>
    <w:rsid w:val="00745CAF"/>
    <w:rsid w:val="007530F2"/>
    <w:rsid w:val="00755863"/>
    <w:rsid w:val="00755D90"/>
    <w:rsid w:val="00757C7D"/>
    <w:rsid w:val="007611A6"/>
    <w:rsid w:val="00767F3F"/>
    <w:rsid w:val="007A6144"/>
    <w:rsid w:val="007B0D79"/>
    <w:rsid w:val="007E0D5A"/>
    <w:rsid w:val="007E2253"/>
    <w:rsid w:val="007E72F4"/>
    <w:rsid w:val="00821B2F"/>
    <w:rsid w:val="00826D7F"/>
    <w:rsid w:val="00846966"/>
    <w:rsid w:val="00846EF4"/>
    <w:rsid w:val="00851B2E"/>
    <w:rsid w:val="00854B34"/>
    <w:rsid w:val="00860A1E"/>
    <w:rsid w:val="00867A62"/>
    <w:rsid w:val="00873E81"/>
    <w:rsid w:val="00877DC4"/>
    <w:rsid w:val="0088054D"/>
    <w:rsid w:val="008A10B2"/>
    <w:rsid w:val="008A7CDF"/>
    <w:rsid w:val="008B0F3B"/>
    <w:rsid w:val="008B6655"/>
    <w:rsid w:val="008E5946"/>
    <w:rsid w:val="008F2368"/>
    <w:rsid w:val="008F6922"/>
    <w:rsid w:val="008F7EB4"/>
    <w:rsid w:val="00932414"/>
    <w:rsid w:val="00932AAE"/>
    <w:rsid w:val="0094386D"/>
    <w:rsid w:val="00955950"/>
    <w:rsid w:val="00957EB7"/>
    <w:rsid w:val="00957FB1"/>
    <w:rsid w:val="00970385"/>
    <w:rsid w:val="00974D57"/>
    <w:rsid w:val="009759EE"/>
    <w:rsid w:val="00994E31"/>
    <w:rsid w:val="009A10AE"/>
    <w:rsid w:val="009A32B2"/>
    <w:rsid w:val="009B0B7C"/>
    <w:rsid w:val="009B1AC6"/>
    <w:rsid w:val="009C06E7"/>
    <w:rsid w:val="009D25DC"/>
    <w:rsid w:val="009E4C0A"/>
    <w:rsid w:val="009F05C7"/>
    <w:rsid w:val="009F3C9C"/>
    <w:rsid w:val="009F5F2F"/>
    <w:rsid w:val="00A01609"/>
    <w:rsid w:val="00A078F1"/>
    <w:rsid w:val="00A145C5"/>
    <w:rsid w:val="00A155D1"/>
    <w:rsid w:val="00A20F5A"/>
    <w:rsid w:val="00A25DEA"/>
    <w:rsid w:val="00A346EC"/>
    <w:rsid w:val="00A43C3D"/>
    <w:rsid w:val="00A61B30"/>
    <w:rsid w:val="00A63A98"/>
    <w:rsid w:val="00A66C53"/>
    <w:rsid w:val="00A677FC"/>
    <w:rsid w:val="00A772C0"/>
    <w:rsid w:val="00A91B43"/>
    <w:rsid w:val="00A97728"/>
    <w:rsid w:val="00AA5B89"/>
    <w:rsid w:val="00AB3678"/>
    <w:rsid w:val="00AB5CEC"/>
    <w:rsid w:val="00AC0F7C"/>
    <w:rsid w:val="00AF2030"/>
    <w:rsid w:val="00AF49DF"/>
    <w:rsid w:val="00AF4E2D"/>
    <w:rsid w:val="00AF7EEF"/>
    <w:rsid w:val="00B037D6"/>
    <w:rsid w:val="00B15B0C"/>
    <w:rsid w:val="00B2619C"/>
    <w:rsid w:val="00B261DF"/>
    <w:rsid w:val="00B33E1D"/>
    <w:rsid w:val="00B5327D"/>
    <w:rsid w:val="00B70AD7"/>
    <w:rsid w:val="00B71439"/>
    <w:rsid w:val="00B84AFA"/>
    <w:rsid w:val="00B84B66"/>
    <w:rsid w:val="00B92EE1"/>
    <w:rsid w:val="00BB2160"/>
    <w:rsid w:val="00BB37E8"/>
    <w:rsid w:val="00BB672F"/>
    <w:rsid w:val="00BD6043"/>
    <w:rsid w:val="00BF359D"/>
    <w:rsid w:val="00BF70EA"/>
    <w:rsid w:val="00C75D45"/>
    <w:rsid w:val="00C77663"/>
    <w:rsid w:val="00C86A08"/>
    <w:rsid w:val="00C932E2"/>
    <w:rsid w:val="00C969AD"/>
    <w:rsid w:val="00CA591F"/>
    <w:rsid w:val="00CC48C0"/>
    <w:rsid w:val="00CD2F83"/>
    <w:rsid w:val="00D00701"/>
    <w:rsid w:val="00D062F7"/>
    <w:rsid w:val="00D20E9E"/>
    <w:rsid w:val="00D27426"/>
    <w:rsid w:val="00D274B4"/>
    <w:rsid w:val="00D33E31"/>
    <w:rsid w:val="00D535DE"/>
    <w:rsid w:val="00D63F51"/>
    <w:rsid w:val="00D77534"/>
    <w:rsid w:val="00D90209"/>
    <w:rsid w:val="00D92E34"/>
    <w:rsid w:val="00D95055"/>
    <w:rsid w:val="00D97698"/>
    <w:rsid w:val="00DA4AC0"/>
    <w:rsid w:val="00DB7D82"/>
    <w:rsid w:val="00DC04D0"/>
    <w:rsid w:val="00DC2F70"/>
    <w:rsid w:val="00DE2961"/>
    <w:rsid w:val="00DE7635"/>
    <w:rsid w:val="00DF4144"/>
    <w:rsid w:val="00E0391A"/>
    <w:rsid w:val="00E139A1"/>
    <w:rsid w:val="00E1536C"/>
    <w:rsid w:val="00E16912"/>
    <w:rsid w:val="00E446C6"/>
    <w:rsid w:val="00E64DC0"/>
    <w:rsid w:val="00E95C3B"/>
    <w:rsid w:val="00EB15E0"/>
    <w:rsid w:val="00EB2300"/>
    <w:rsid w:val="00EC670F"/>
    <w:rsid w:val="00ED4AE7"/>
    <w:rsid w:val="00EE666C"/>
    <w:rsid w:val="00EF408C"/>
    <w:rsid w:val="00F01CD4"/>
    <w:rsid w:val="00F07C65"/>
    <w:rsid w:val="00F1283B"/>
    <w:rsid w:val="00F22EE3"/>
    <w:rsid w:val="00F247BE"/>
    <w:rsid w:val="00F42CFF"/>
    <w:rsid w:val="00F44BD1"/>
    <w:rsid w:val="00F5471E"/>
    <w:rsid w:val="00F5650E"/>
    <w:rsid w:val="00F63279"/>
    <w:rsid w:val="00F7410D"/>
    <w:rsid w:val="00F747CA"/>
    <w:rsid w:val="00F825A8"/>
    <w:rsid w:val="00F930BE"/>
    <w:rsid w:val="00F97815"/>
    <w:rsid w:val="00FA289D"/>
    <w:rsid w:val="00FA32AC"/>
    <w:rsid w:val="00FB3C1E"/>
    <w:rsid w:val="00FC08E5"/>
    <w:rsid w:val="00FE2D9D"/>
    <w:rsid w:val="00FE347C"/>
    <w:rsid w:val="00FE5115"/>
    <w:rsid w:val="00FF0E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25C607"/>
  <w15:chartTrackingRefBased/>
  <w15:docId w15:val="{0ACC3631-3C79-4B41-8F45-5F03EB3C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378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uiPriority w:val="9"/>
    <w:unhideWhenUsed/>
    <w:qFormat/>
    <w:rsid w:val="006B3B6F"/>
    <w:pPr>
      <w:keepNext/>
      <w:keepLines/>
      <w:numPr>
        <w:numId w:val="4"/>
      </w:numPr>
      <w:spacing w:before="160" w:after="120"/>
      <w:ind w:left="0" w:hanging="11"/>
      <w:outlineLvl w:val="1"/>
    </w:pPr>
    <w:rPr>
      <w:rFonts w:ascii="Verdana" w:eastAsiaTheme="majorEastAsia" w:hAnsi="Verdana" w:cstheme="majorBidi"/>
      <w:b/>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ext">
    <w:name w:val="annotation text"/>
    <w:basedOn w:val="Standard"/>
    <w:link w:val="KommentartextZchn"/>
    <w:uiPriority w:val="99"/>
    <w:unhideWhenUsed/>
    <w:pPr>
      <w:spacing w:after="0" w:line="240" w:lineRule="auto"/>
    </w:pPr>
    <w:rPr>
      <w:rFonts w:ascii="Times New Roman" w:eastAsia="Times New Roman" w:hAnsi="Times New Roman" w:cs="Times New Roman"/>
      <w:sz w:val="20"/>
      <w:szCs w:val="20"/>
      <w:lang w:val="en-US"/>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val="en-US"/>
    </w:rPr>
  </w:style>
  <w:style w:type="character" w:styleId="Kommentarzeichen">
    <w:name w:val="annotation reference"/>
    <w:basedOn w:val="Absatz-Standardschriftart"/>
    <w:uiPriority w:val="99"/>
    <w:semiHidden/>
    <w:unhideWhenUsed/>
    <w:rPr>
      <w:rFonts w:ascii="Times New Roman" w:hAnsi="Times New Roman" w:cs="Times New Roman" w:hint="default"/>
      <w:sz w:val="16"/>
      <w:szCs w:val="16"/>
    </w:rPr>
  </w:style>
  <w:style w:type="paragraph" w:styleId="Listenabsatz">
    <w:name w:val="List Paragraph"/>
    <w:aliases w:val="Nummerierung"/>
    <w:basedOn w:val="Standard"/>
    <w:next w:val="Standard"/>
    <w:link w:val="ListenabsatzZchn"/>
    <w:autoRedefine/>
    <w:uiPriority w:val="34"/>
    <w:qFormat/>
    <w:rsid w:val="006B7908"/>
    <w:pPr>
      <w:tabs>
        <w:tab w:val="left" w:pos="567"/>
      </w:tabs>
      <w:spacing w:after="240" w:line="300" w:lineRule="atLeast"/>
      <w:contextualSpacing/>
      <w:jc w:val="both"/>
    </w:pPr>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pPr>
      <w:spacing w:after="160"/>
    </w:pPr>
    <w:rPr>
      <w:rFonts w:asciiTheme="minorHAnsi" w:eastAsiaTheme="minorHAnsi" w:hAnsiTheme="minorHAnsi" w:cstheme="minorBidi"/>
      <w:b/>
      <w:bCs/>
      <w:lang w:val="de-DE"/>
    </w:rPr>
  </w:style>
  <w:style w:type="character" w:customStyle="1" w:styleId="KommentarthemaZchn">
    <w:name w:val="Kommentarthema Zchn"/>
    <w:basedOn w:val="KommentartextZchn"/>
    <w:link w:val="Kommentarthema"/>
    <w:uiPriority w:val="99"/>
    <w:semiHidden/>
    <w:rPr>
      <w:rFonts w:ascii="Times New Roman" w:eastAsia="Times New Roman" w:hAnsi="Times New Roman" w:cs="Times New Roman"/>
      <w:b/>
      <w:bCs/>
      <w:sz w:val="20"/>
      <w:szCs w:val="20"/>
      <w:lang w:val="en-US"/>
    </w:rPr>
  </w:style>
  <w:style w:type="character" w:customStyle="1" w:styleId="berschrift2Zchn">
    <w:name w:val="Überschrift 2 Zchn"/>
    <w:basedOn w:val="Absatz-Standardschriftart"/>
    <w:link w:val="berschrift2"/>
    <w:uiPriority w:val="9"/>
    <w:rsid w:val="006B3B6F"/>
    <w:rPr>
      <w:rFonts w:ascii="Verdana" w:eastAsiaTheme="majorEastAsia" w:hAnsi="Verdana" w:cstheme="majorBidi"/>
      <w:b/>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4D78" w:themeColor="accent1" w:themeShade="7F"/>
      <w:sz w:val="24"/>
      <w:szCs w:val="24"/>
    </w:rPr>
  </w:style>
  <w:style w:type="character" w:customStyle="1" w:styleId="ListenabsatzZchn">
    <w:name w:val="Listenabsatz Zchn"/>
    <w:aliases w:val="Nummerierung Zchn"/>
    <w:basedOn w:val="Absatz-Standardschriftart"/>
    <w:link w:val="Listenabsatz"/>
    <w:uiPriority w:val="34"/>
    <w:rsid w:val="006B7908"/>
    <w:rPr>
      <w:rFonts w:ascii="Verdana" w:hAnsi="Verdana"/>
      <w:sz w:val="20"/>
      <w:szCs w:val="20"/>
    </w:r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paragraph" w:styleId="berarbeitung">
    <w:name w:val="Revision"/>
    <w:hidden/>
    <w:uiPriority w:val="99"/>
    <w:semiHidden/>
    <w:pPr>
      <w:spacing w:after="0" w:line="240" w:lineRule="auto"/>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E00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003E"/>
  </w:style>
  <w:style w:type="paragraph" w:styleId="Fuzeile">
    <w:name w:val="footer"/>
    <w:basedOn w:val="Standard"/>
    <w:link w:val="FuzeileZchn"/>
    <w:uiPriority w:val="99"/>
    <w:unhideWhenUsed/>
    <w:rsid w:val="001E00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003E"/>
  </w:style>
  <w:style w:type="character" w:customStyle="1" w:styleId="NichtaufgelsteErwhnung1">
    <w:name w:val="Nicht aufgelöste Erwähnung1"/>
    <w:basedOn w:val="Absatz-Standardschriftart"/>
    <w:uiPriority w:val="99"/>
    <w:semiHidden/>
    <w:unhideWhenUsed/>
    <w:rsid w:val="00D274B4"/>
    <w:rPr>
      <w:color w:val="605E5C"/>
      <w:shd w:val="clear" w:color="auto" w:fill="E1DFDD"/>
    </w:rPr>
  </w:style>
  <w:style w:type="character" w:customStyle="1" w:styleId="berschrift1Zchn">
    <w:name w:val="Überschrift 1 Zchn"/>
    <w:basedOn w:val="Absatz-Standardschriftart"/>
    <w:link w:val="berschrift1"/>
    <w:uiPriority w:val="9"/>
    <w:rsid w:val="006378E0"/>
    <w:rPr>
      <w:rFonts w:asciiTheme="majorHAnsi" w:eastAsiaTheme="majorEastAsia" w:hAnsiTheme="majorHAnsi" w:cstheme="majorBidi"/>
      <w:color w:val="2E74B5" w:themeColor="accent1" w:themeShade="BF"/>
      <w:sz w:val="32"/>
      <w:szCs w:val="32"/>
    </w:rPr>
  </w:style>
  <w:style w:type="paragraph" w:styleId="Funotentext">
    <w:name w:val="footnote text"/>
    <w:basedOn w:val="Standard"/>
    <w:link w:val="FunotentextZchn"/>
    <w:uiPriority w:val="99"/>
    <w:semiHidden/>
    <w:unhideWhenUsed/>
    <w:rsid w:val="00FE2D9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E2D9D"/>
    <w:rPr>
      <w:sz w:val="20"/>
      <w:szCs w:val="20"/>
    </w:rPr>
  </w:style>
  <w:style w:type="character" w:styleId="Funotenzeichen">
    <w:name w:val="footnote reference"/>
    <w:basedOn w:val="Absatz-Standardschriftart"/>
    <w:uiPriority w:val="99"/>
    <w:semiHidden/>
    <w:unhideWhenUsed/>
    <w:rsid w:val="00FE2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50105">
      <w:bodyDiv w:val="1"/>
      <w:marLeft w:val="0"/>
      <w:marRight w:val="0"/>
      <w:marTop w:val="0"/>
      <w:marBottom w:val="0"/>
      <w:divBdr>
        <w:top w:val="none" w:sz="0" w:space="0" w:color="auto"/>
        <w:left w:val="none" w:sz="0" w:space="0" w:color="auto"/>
        <w:bottom w:val="none" w:sz="0" w:space="0" w:color="auto"/>
        <w:right w:val="none" w:sz="0" w:space="0" w:color="auto"/>
      </w:divBdr>
    </w:div>
    <w:div w:id="595019221">
      <w:bodyDiv w:val="1"/>
      <w:marLeft w:val="0"/>
      <w:marRight w:val="0"/>
      <w:marTop w:val="0"/>
      <w:marBottom w:val="0"/>
      <w:divBdr>
        <w:top w:val="none" w:sz="0" w:space="0" w:color="auto"/>
        <w:left w:val="none" w:sz="0" w:space="0" w:color="auto"/>
        <w:bottom w:val="none" w:sz="0" w:space="0" w:color="auto"/>
        <w:right w:val="none" w:sz="0" w:space="0" w:color="auto"/>
      </w:divBdr>
    </w:div>
    <w:div w:id="825903995">
      <w:bodyDiv w:val="1"/>
      <w:marLeft w:val="0"/>
      <w:marRight w:val="0"/>
      <w:marTop w:val="0"/>
      <w:marBottom w:val="0"/>
      <w:divBdr>
        <w:top w:val="none" w:sz="0" w:space="0" w:color="auto"/>
        <w:left w:val="none" w:sz="0" w:space="0" w:color="auto"/>
        <w:bottom w:val="none" w:sz="0" w:space="0" w:color="auto"/>
        <w:right w:val="none" w:sz="0" w:space="0" w:color="auto"/>
      </w:divBdr>
    </w:div>
    <w:div w:id="1206409713">
      <w:bodyDiv w:val="1"/>
      <w:marLeft w:val="0"/>
      <w:marRight w:val="0"/>
      <w:marTop w:val="0"/>
      <w:marBottom w:val="0"/>
      <w:divBdr>
        <w:top w:val="none" w:sz="0" w:space="0" w:color="auto"/>
        <w:left w:val="none" w:sz="0" w:space="0" w:color="auto"/>
        <w:bottom w:val="none" w:sz="0" w:space="0" w:color="auto"/>
        <w:right w:val="none" w:sz="0" w:space="0" w:color="auto"/>
      </w:divBdr>
    </w:div>
    <w:div w:id="1487473416">
      <w:bodyDiv w:val="1"/>
      <w:marLeft w:val="0"/>
      <w:marRight w:val="0"/>
      <w:marTop w:val="0"/>
      <w:marBottom w:val="0"/>
      <w:divBdr>
        <w:top w:val="none" w:sz="0" w:space="0" w:color="auto"/>
        <w:left w:val="none" w:sz="0" w:space="0" w:color="auto"/>
        <w:bottom w:val="none" w:sz="0" w:space="0" w:color="auto"/>
        <w:right w:val="none" w:sz="0" w:space="0" w:color="auto"/>
      </w:divBdr>
    </w:div>
    <w:div w:id="16330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 D E M A T T E R S ! 1 5 5 6 7 4 4 4 . 3 < / d o c u m e n t i d >  
     < s e n d e r i d > R U E D I G E A < / s e n d e r i d >  
     < s e n d e r e m a i l > A N D R E A S . R U E D I G E R @ D L A P I P E R . C O M < / s e n d e r e m a i l >  
     < l a s t m o d i f i e d > 2 0 2 0 - 0 6 - 3 0 T 2 1 : 0 0 : 0 0 . 0 0 0 0 0 0 0 + 0 2 : 0 0 < / l a s t m o d i f i e d >  
     < d a t a b a s e > D E M A T T E R S 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E9E40-A0D6-44B2-B5E3-3BB74BA0DBA4}">
  <ds:schemaRefs>
    <ds:schemaRef ds:uri="http://www.imanage.com/work/xmlschema"/>
  </ds:schemaRefs>
</ds:datastoreItem>
</file>

<file path=customXml/itemProps2.xml><?xml version="1.0" encoding="utf-8"?>
<ds:datastoreItem xmlns:ds="http://schemas.openxmlformats.org/officeDocument/2006/customXml" ds:itemID="{8AE537A5-B200-4C6F-B29F-FAE3E0E9E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2050</Words>
  <Characters>12919</Characters>
  <Application>Microsoft Office Word</Application>
  <DocSecurity>0</DocSecurity>
  <Lines>107</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UKK</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Frey</dc:creator>
  <cp:keywords/>
  <dc:description/>
  <cp:lastModifiedBy>Ruppert, Dr. Thorsten</cp:lastModifiedBy>
  <cp:revision>4</cp:revision>
  <cp:lastPrinted>2023-10-26T14:22:00Z</cp:lastPrinted>
  <dcterms:created xsi:type="dcterms:W3CDTF">2023-10-06T07:13:00Z</dcterms:created>
  <dcterms:modified xsi:type="dcterms:W3CDTF">2023-10-26T14:23:00Z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5104f032-ef0d-4cf9-a6e5-e126b8231770</vt:lpwstr>
  </property>
</Properties>
</file>